
<file path=[Content_Types].xml><?xml version="1.0" encoding="utf-8"?>
<Types xmlns="http://schemas.openxmlformats.org/package/2006/content-types">
  <Default Extension="emf" ContentType="image/x-emf"/>
  <Default Extension="jpg" ContentType="image/jpeg"/>
  <Default Extension="xml" ContentType="application/xml"/>
  <Default Extension="wmf" ContentType="image/x-wmf"/>
  <Default Extension="png" ContentType="image/png"/>
  <Default Extension="jpeg" ContentType="image/jpeg"/>
  <Default Extension="rels" ContentType="application/vnd.openxmlformats-package.relationships+xml"/>
  <Default Extension="bin" ContentType="application/vnd.openxmlformats-officedocument.oleObject"/>
  <Override PartName="/docProps/app.xml" ContentType="application/vnd.openxmlformats-officedocument.extended-properties+xml"/>
  <Override PartName="/word/footer2.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numbering.xml" ContentType="application/vnd.openxmlformats-officedocument.wordprocessingml.numbering+xml"/>
  <Override PartName="/word/header2.xml" ContentType="application/vnd.openxmlformats-officedocument.wordprocessingml.header+xml"/>
  <Override PartName="/word/fontTable.xml" ContentType="application/vnd.openxmlformats-officedocument.wordprocessingml.fontTable+xml"/>
  <Override PartName="/word/document.xml" ContentType="application/vnd.openxmlformats-officedocument.wordprocessingml.document.main+xml"/>
  <Override PartName="/word/footer3.xml" ContentType="application/vnd.openxmlformats-officedocument.wordprocessingml.footer+xml"/>
  <Override PartName="/word/styles.xml" ContentType="application/vnd.openxmlformats-officedocument.wordprocessingml.styles+xml"/>
  <Override PartName="/word/theme/theme1.xml" ContentType="application/vnd.openxmlformats-officedocument.theme+xml"/>
  <Override PartName="/docProps/core.xml" ContentType="application/vnd.openxmlformats-package.core-properties+xml"/>
  <Override PartName="/word/webSettings.xml" ContentType="application/vnd.openxmlformats-officedocument.wordprocessingml.webSettings+xml"/>
  <Override PartName="/word/settings.xml" ContentType="application/vnd.openxmlformats-officedocument.wordprocessingml.settings+xml"/>
  <Override PartName="/word/header1.xml" ContentType="application/vnd.openxmlformats-officedocument.wordprocessingml.header+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5000" w:type="pct"/>
        <w:tblInd w:w="-73" w:type="dxa"/>
        <w:tblLook w:val="0000" w:firstRow="0" w:lastRow="0" w:firstColumn="0" w:lastColumn="0" w:noHBand="0" w:noVBand="0"/>
      </w:tblPr>
      <w:tblGrid>
        <w:gridCol w:w="4770"/>
        <w:gridCol w:w="53"/>
        <w:gridCol w:w="242"/>
        <w:gridCol w:w="57"/>
        <w:gridCol w:w="4732"/>
      </w:tblGrid>
      <w:tr>
        <w:tblPrEx/>
        <w:trPr>
          <w:trHeight w:val="398" w:hRule="exact"/>
        </w:trPr>
        <w:tc>
          <w:tcPr>
            <w:tcW w:w="2420" w:type="pct"/>
            <w:vAlign w:val="center"/>
            <w:textDirection w:val="lrTb"/>
            <w:noWrap w:val="false"/>
          </w:tcPr>
          <w:p>
            <w:pPr>
              <w:pStyle w:val="1321"/>
            </w:pPr>
            <w:r>
              <w:t xml:space="preserve">УТВЕРЖДАЮ</w:t>
            </w:r>
            <w:r/>
          </w:p>
        </w:tc>
        <w:tc>
          <w:tcPr>
            <w:gridSpan w:val="2"/>
            <w:tcW w:w="150" w:type="pct"/>
            <w:vAlign w:val="center"/>
            <w:textDirection w:val="lrTb"/>
            <w:noWrap w:val="false"/>
          </w:tcPr>
          <w:p>
            <w:pPr>
              <w:pStyle w:val="1321"/>
            </w:pPr>
            <w:r/>
            <w:r/>
          </w:p>
        </w:tc>
        <w:tc>
          <w:tcPr>
            <w:gridSpan w:val="2"/>
            <w:tcW w:w="2430" w:type="pct"/>
            <w:vAlign w:val="center"/>
            <w:textDirection w:val="lrTb"/>
            <w:noWrap w:val="false"/>
          </w:tcPr>
          <w:p>
            <w:pPr>
              <w:pStyle w:val="1321"/>
            </w:pPr>
            <w:r>
              <w:rPr>
                <w:color w:val="ff0000"/>
              </w:rPr>
              <w:t xml:space="preserve">ПРОЕКТ</w:t>
            </w:r>
            <w:r/>
          </w:p>
        </w:tc>
      </w:tr>
      <w:tr>
        <w:tblPrEx/>
        <w:trPr>
          <w:trHeight w:val="2542" w:hRule="exact"/>
        </w:trPr>
        <w:tc>
          <w:tcPr>
            <w:tcW w:w="2420" w:type="pct"/>
            <w:vAlign w:val="center"/>
            <w:textDirection w:val="lrTb"/>
            <w:noWrap w:val="false"/>
          </w:tcPr>
          <w:p>
            <w:pPr>
              <w:pStyle w:val="1321"/>
            </w:pPr>
            <w:r>
              <w:t xml:space="preserve">От Федерального казначейства</w:t>
            </w:r>
            <w:r/>
          </w:p>
          <w:p>
            <w:pPr>
              <w:pStyle w:val="1321"/>
            </w:pPr>
            <w:r/>
            <w:r/>
          </w:p>
          <w:p>
            <w:pPr>
              <w:pStyle w:val="1321"/>
              <w:rPr>
                <w:lang w:val="en-US"/>
              </w:rPr>
            </w:pPr>
            <w:r>
              <w:rPr>
                <w:lang w:val="en-US"/>
              </w:rPr>
            </w:r>
            <w:r>
              <w:rPr>
                <w:lang w:val="en-US"/>
              </w:rPr>
            </w:r>
          </w:p>
          <w:p>
            <w:pPr>
              <w:pStyle w:val="1321"/>
            </w:pPr>
            <w:r>
              <w:t xml:space="preserve">______________ /                               /</w:t>
            </w:r>
            <w:r/>
          </w:p>
          <w:p>
            <w:pPr>
              <w:pStyle w:val="1321"/>
            </w:pPr>
            <w:r>
              <w:t xml:space="preserve">«___» ____________ 20___ г.</w:t>
            </w:r>
            <w:r/>
          </w:p>
        </w:tc>
        <w:tc>
          <w:tcPr>
            <w:gridSpan w:val="2"/>
            <w:tcW w:w="150" w:type="pct"/>
            <w:vAlign w:val="center"/>
            <w:textDirection w:val="lrTb"/>
            <w:noWrap w:val="false"/>
          </w:tcPr>
          <w:p>
            <w:pPr>
              <w:pStyle w:val="1321"/>
            </w:pPr>
            <w:r/>
            <w:r/>
          </w:p>
        </w:tc>
        <w:tc>
          <w:tcPr>
            <w:gridSpan w:val="2"/>
            <w:tcW w:w="2430" w:type="pct"/>
            <w:vAlign w:val="center"/>
            <w:textDirection w:val="lrTb"/>
            <w:noWrap w:val="false"/>
          </w:tcPr>
          <w:p>
            <w:pPr>
              <w:pStyle w:val="1321"/>
            </w:pPr>
            <w:r/>
            <w:r/>
          </w:p>
        </w:tc>
      </w:tr>
      <w:tr>
        <w:tblPrEx/>
        <w:trPr>
          <w:trHeight w:val="1841" w:hRule="exact"/>
        </w:trPr>
        <w:tc>
          <w:tcPr>
            <w:gridSpan w:val="5"/>
            <w:tcW w:w="5000" w:type="pct"/>
            <w:vAlign w:val="center"/>
            <w:textDirection w:val="lrTb"/>
            <w:noWrap w:val="false"/>
          </w:tcPr>
          <w:p>
            <w:pPr>
              <w:pStyle w:val="1323"/>
            </w:pPr>
            <w:r>
              <w:t xml:space="preserve">Государственная интегрированная информационная система </w:t>
            </w:r>
            <w:r>
              <w:br/>
              <w:t xml:space="preserve">управления общественными финансами «Электронный бюджет»</w:t>
            </w:r>
            <w:r/>
          </w:p>
          <w:p>
            <w:pPr>
              <w:pStyle w:val="1323"/>
            </w:pPr>
            <w:r/>
            <w:r/>
          </w:p>
          <w:p>
            <w:pPr>
              <w:pStyle w:val="1323"/>
            </w:pPr>
            <w:r>
              <w:t xml:space="preserve">Подсистема ведения нормативной справочной информации</w:t>
            </w:r>
            <w:r/>
          </w:p>
        </w:tc>
      </w:tr>
      <w:tr>
        <w:tblPrEx/>
        <w:trPr>
          <w:trHeight w:val="719"/>
        </w:trPr>
        <w:tc>
          <w:tcPr>
            <w:gridSpan w:val="5"/>
            <w:tcW w:w="5000" w:type="pct"/>
            <w:vAlign w:val="center"/>
            <w:textDirection w:val="lrTb"/>
            <w:noWrap w:val="false"/>
          </w:tcPr>
          <w:p>
            <w:pPr>
              <w:pStyle w:val="1323"/>
            </w:pPr>
            <w:r>
              <w:t xml:space="preserve">Модуль ведения лицевых счетов</w:t>
            </w:r>
            <w:r/>
          </w:p>
        </w:tc>
      </w:tr>
      <w:tr>
        <w:tblPrEx/>
        <w:trPr>
          <w:trHeight w:val="1843" w:hRule="exact"/>
        </w:trPr>
        <w:tc>
          <w:tcPr>
            <w:gridSpan w:val="5"/>
            <w:tcW w:w="5000" w:type="pct"/>
            <w:vAlign w:val="bottom"/>
            <w:textDirection w:val="lrTb"/>
            <w:noWrap w:val="false"/>
          </w:tcPr>
          <w:p>
            <w:pPr>
              <w:pStyle w:val="1324"/>
            </w:pPr>
            <w:r>
              <w:t xml:space="preserve">Руководство работников (представителей) участников системы «Электронный бюджет» по работе с подсистемой (компонентом, модулем)</w:t>
            </w:r>
            <w:r/>
          </w:p>
        </w:tc>
      </w:tr>
      <w:tr>
        <w:tblPrEx/>
        <w:trPr>
          <w:trHeight w:val="703" w:hRule="exact"/>
        </w:trPr>
        <w:tc>
          <w:tcPr>
            <w:gridSpan w:val="5"/>
            <w:tcW w:w="5000" w:type="pct"/>
            <w:vAlign w:val="bottom"/>
            <w:textDirection w:val="lrTb"/>
            <w:noWrap w:val="false"/>
          </w:tcPr>
          <w:p>
            <w:pPr>
              <w:pStyle w:val="1325"/>
            </w:pPr>
            <w:r>
              <w:t xml:space="preserve">Том 1. Руководство для сотрудников Клиента</w:t>
            </w:r>
            <w:r/>
          </w:p>
        </w:tc>
      </w:tr>
      <w:tr>
        <w:tblPrEx/>
        <w:trPr>
          <w:trHeight w:val="712" w:hRule="exact"/>
        </w:trPr>
        <w:tc>
          <w:tcPr>
            <w:gridSpan w:val="5"/>
            <w:tcW w:w="5000" w:type="pct"/>
            <w:vAlign w:val="center"/>
            <w:textDirection w:val="lrTb"/>
            <w:noWrap w:val="false"/>
          </w:tcPr>
          <w:p>
            <w:pPr>
              <w:pStyle w:val="1323"/>
            </w:pPr>
            <w:r>
              <w:t xml:space="preserve">Лист утверждения</w:t>
            </w:r>
            <w:r/>
          </w:p>
        </w:tc>
      </w:tr>
      <w:tr>
        <w:tblPrEx/>
        <w:trPr>
          <w:trHeight w:val="379"/>
        </w:trPr>
        <w:tc>
          <w:tcPr>
            <w:gridSpan w:val="5"/>
            <w:tcW w:w="5000" w:type="pct"/>
            <w:vAlign w:val="center"/>
            <w:textDirection w:val="lrTb"/>
            <w:noWrap w:val="false"/>
          </w:tcPr>
          <w:p>
            <w:pPr>
              <w:pStyle w:val="1321"/>
            </w:pPr>
            <w:r>
              <w:t xml:space="preserve">Код документа: </w:t>
            </w:r>
            <w:r>
              <w:t xml:space="preserve">54819512.20.19,04.ЭБ26.001-</w:t>
            </w:r>
            <w:r>
              <w:t xml:space="preserve">1</w:t>
            </w:r>
            <w:r>
              <w:t xml:space="preserve">4</w:t>
            </w:r>
            <w:r>
              <w:t xml:space="preserve">.0</w:t>
            </w:r>
            <w:r>
              <w:t xml:space="preserve">0</w:t>
            </w:r>
            <w:r>
              <w:t xml:space="preserve"> </w:t>
            </w:r>
            <w:r>
              <w:t xml:space="preserve">1(2,5,8</w:t>
            </w:r>
            <w:r>
              <w:t xml:space="preserve">,10</w:t>
            </w:r>
            <w:r>
              <w:t xml:space="preserve">)</w:t>
            </w:r>
            <w:r>
              <w:t xml:space="preserve">-ЛУ</w:t>
            </w:r>
            <w:r/>
          </w:p>
        </w:tc>
      </w:tr>
      <w:tr>
        <w:tblPrEx/>
        <w:trPr>
          <w:trHeight w:val="316"/>
        </w:trPr>
        <w:tc>
          <w:tcPr>
            <w:gridSpan w:val="5"/>
            <w:tcW w:w="5000" w:type="pct"/>
            <w:vAlign w:val="center"/>
            <w:textDirection w:val="lrTb"/>
            <w:noWrap w:val="false"/>
          </w:tcPr>
          <w:p>
            <w:pPr>
              <w:pStyle w:val="1321"/>
            </w:pPr>
            <w:r>
              <w:t xml:space="preserve">Государственный контракт от 04.07.2025 № ФКУ0247/2025/РИС</w:t>
            </w:r>
            <w:r/>
          </w:p>
        </w:tc>
      </w:tr>
      <w:tr>
        <w:tblPrEx/>
        <w:trPr/>
        <w:tc>
          <w:tcPr>
            <w:gridSpan w:val="2"/>
            <w:tcW w:w="2447" w:type="pct"/>
            <w:vAlign w:val="center"/>
            <w:textDirection w:val="lrTb"/>
            <w:noWrap w:val="false"/>
          </w:tcPr>
          <w:p>
            <w:pPr>
              <w:pStyle w:val="1321"/>
            </w:pPr>
            <w:r>
              <w:t xml:space="preserve">СОГЛАСОВАНО</w:t>
            </w:r>
            <w:r/>
          </w:p>
        </w:tc>
        <w:tc>
          <w:tcPr>
            <w:gridSpan w:val="2"/>
            <w:tcW w:w="152" w:type="pct"/>
            <w:vAlign w:val="center"/>
            <w:textDirection w:val="lrTb"/>
            <w:noWrap w:val="false"/>
          </w:tcPr>
          <w:p>
            <w:pPr>
              <w:pStyle w:val="1321"/>
            </w:pPr>
            <w:r/>
            <w:r/>
          </w:p>
        </w:tc>
        <w:tc>
          <w:tcPr>
            <w:tcW w:w="2401" w:type="pct"/>
            <w:vAlign w:val="center"/>
            <w:textDirection w:val="lrTb"/>
            <w:noWrap w:val="false"/>
          </w:tcPr>
          <w:p>
            <w:pPr>
              <w:pStyle w:val="1321"/>
            </w:pPr>
            <w:r>
              <w:t xml:space="preserve">СОГЛАСОВАНО</w:t>
            </w:r>
            <w:r/>
          </w:p>
        </w:tc>
      </w:tr>
      <w:tr>
        <w:tblPrEx/>
        <w:trPr>
          <w:trHeight w:val="287"/>
        </w:trPr>
        <w:tc>
          <w:tcPr>
            <w:gridSpan w:val="2"/>
            <w:tcW w:w="2447" w:type="pct"/>
            <w:textDirection w:val="lrTb"/>
            <w:noWrap w:val="false"/>
          </w:tcPr>
          <w:p>
            <w:pPr>
              <w:pStyle w:val="1321"/>
            </w:pPr>
            <w:r>
              <w:t xml:space="preserve">От Федерального казенного учреждения «Центр по обеспечению деятельности Казначейства России»</w:t>
            </w:r>
            <w:r/>
          </w:p>
        </w:tc>
        <w:tc>
          <w:tcPr>
            <w:gridSpan w:val="2"/>
            <w:tcW w:w="152" w:type="pct"/>
            <w:textDirection w:val="lrTb"/>
            <w:noWrap w:val="false"/>
          </w:tcPr>
          <w:p>
            <w:pPr>
              <w:pStyle w:val="1472"/>
              <w:rPr>
                <w:rFonts w:cs="Times New Roman"/>
                <w:b w:val="0"/>
                <w:bCs w:val="0"/>
                <w:iCs w:val="0"/>
                <w:sz w:val="28"/>
                <w:szCs w:val="28"/>
              </w:rPr>
            </w:pPr>
            <w:r>
              <w:rPr>
                <w:rFonts w:cs="Times New Roman"/>
                <w:b w:val="0"/>
                <w:bCs w:val="0"/>
                <w:iCs w:val="0"/>
                <w:sz w:val="28"/>
                <w:szCs w:val="28"/>
              </w:rPr>
            </w:r>
            <w:r>
              <w:rPr>
                <w:rFonts w:cs="Times New Roman"/>
                <w:b w:val="0"/>
                <w:bCs w:val="0"/>
                <w:iCs w:val="0"/>
                <w:sz w:val="28"/>
                <w:szCs w:val="28"/>
              </w:rPr>
            </w:r>
          </w:p>
        </w:tc>
        <w:tc>
          <w:tcPr>
            <w:tcW w:w="2401" w:type="pct"/>
            <w:textDirection w:val="lrTb"/>
            <w:noWrap w:val="false"/>
          </w:tcPr>
          <w:p>
            <w:pPr>
              <w:pStyle w:val="1321"/>
            </w:pPr>
            <w:r>
              <w:t xml:space="preserve">От ООО «ОТР 2000»</w:t>
            </w:r>
            <w:r/>
          </w:p>
          <w:p>
            <w:pPr>
              <w:pStyle w:val="1321"/>
            </w:pPr>
            <w:r>
              <w:t xml:space="preserve">Генеральный директор</w:t>
            </w:r>
            <w:r/>
          </w:p>
        </w:tc>
      </w:tr>
      <w:tr>
        <w:tblPrEx/>
        <w:trPr>
          <w:trHeight w:val="1675"/>
        </w:trPr>
        <w:tc>
          <w:tcPr>
            <w:gridSpan w:val="2"/>
            <w:tcW w:w="2447" w:type="pct"/>
            <w:textDirection w:val="lrTb"/>
            <w:noWrap w:val="false"/>
          </w:tcPr>
          <w:p>
            <w:pPr>
              <w:pStyle w:val="1321"/>
            </w:pPr>
            <w:r/>
            <w:r/>
          </w:p>
          <w:p>
            <w:pPr>
              <w:pStyle w:val="1321"/>
            </w:pPr>
            <w:r/>
            <w:r/>
          </w:p>
          <w:p>
            <w:pPr>
              <w:pStyle w:val="1321"/>
            </w:pPr>
            <w:r/>
            <w:r/>
          </w:p>
          <w:p>
            <w:pPr>
              <w:pStyle w:val="2319"/>
              <w:spacing w:line="360" w:lineRule="auto"/>
            </w:pPr>
            <w:r>
              <w:t xml:space="preserve">______________ /                             /</w:t>
            </w:r>
            <w:r/>
          </w:p>
          <w:p>
            <w:pPr>
              <w:pStyle w:val="1321"/>
            </w:pPr>
            <w:r>
              <w:t xml:space="preserve"> «___» _____</w:t>
            </w:r>
            <w:r>
              <w:rPr>
                <w:lang w:val="en-US"/>
              </w:rPr>
              <w:t xml:space="preserve">____</w:t>
            </w:r>
            <w:r>
              <w:t xml:space="preserve">__</w:t>
            </w:r>
            <w:r>
              <w:t xml:space="preserve">__ 20_</w:t>
            </w:r>
            <w:r>
              <w:t xml:space="preserve">_</w:t>
            </w:r>
            <w:r>
              <w:t xml:space="preserve">_ г.</w:t>
            </w:r>
            <w:r/>
          </w:p>
        </w:tc>
        <w:tc>
          <w:tcPr>
            <w:gridSpan w:val="2"/>
            <w:tcW w:w="152" w:type="pct"/>
            <w:textDirection w:val="lrTb"/>
            <w:noWrap w:val="false"/>
          </w:tcPr>
          <w:p>
            <w:pPr>
              <w:pStyle w:val="1472"/>
              <w:rPr>
                <w:rFonts w:cs="Times New Roman"/>
                <w:b w:val="0"/>
                <w:bCs w:val="0"/>
                <w:iCs w:val="0"/>
                <w:sz w:val="28"/>
                <w:szCs w:val="28"/>
              </w:rPr>
            </w:pPr>
            <w:r>
              <w:rPr>
                <w:rFonts w:cs="Times New Roman"/>
                <w:b w:val="0"/>
                <w:bCs w:val="0"/>
                <w:iCs w:val="0"/>
                <w:sz w:val="28"/>
                <w:szCs w:val="28"/>
              </w:rPr>
            </w:r>
            <w:r>
              <w:rPr>
                <w:rFonts w:cs="Times New Roman"/>
                <w:b w:val="0"/>
                <w:bCs w:val="0"/>
                <w:iCs w:val="0"/>
                <w:sz w:val="28"/>
                <w:szCs w:val="28"/>
              </w:rPr>
            </w:r>
          </w:p>
        </w:tc>
        <w:tc>
          <w:tcPr>
            <w:tcW w:w="2401" w:type="pct"/>
            <w:textDirection w:val="lrTb"/>
            <w:noWrap w:val="false"/>
          </w:tcPr>
          <w:p>
            <w:pPr>
              <w:pStyle w:val="1321"/>
            </w:pPr>
            <w:r/>
            <w:r/>
          </w:p>
          <w:p>
            <w:pPr>
              <w:pStyle w:val="1321"/>
            </w:pPr>
            <w:r/>
            <w:r/>
          </w:p>
          <w:p>
            <w:pPr>
              <w:pStyle w:val="1321"/>
            </w:pPr>
            <w:r/>
            <w:r/>
          </w:p>
          <w:p>
            <w:pPr>
              <w:pStyle w:val="1321"/>
            </w:pPr>
            <w:r>
              <w:t xml:space="preserve">______________ /С. Ю. Манохин/</w:t>
            </w:r>
            <w:r/>
          </w:p>
          <w:p>
            <w:pPr>
              <w:pStyle w:val="1321"/>
            </w:pPr>
            <w:r>
              <w:t xml:space="preserve">«___» ____________ 20___ г.</w:t>
            </w:r>
            <w:r/>
          </w:p>
        </w:tc>
      </w:tr>
    </w:tbl>
    <w:p>
      <w:pPr>
        <w:ind w:firstLine="0"/>
      </w:pPr>
      <w:r>
        <w:br w:type="page" w:clear="all"/>
      </w:r>
      <w:r/>
    </w:p>
    <w:tbl>
      <w:tblPr>
        <w:tblW w:w="5000" w:type="pct"/>
        <w:tblInd w:w="-74" w:type="dxa"/>
        <w:tblLook w:val="0000" w:firstRow="0" w:lastRow="0" w:firstColumn="0" w:lastColumn="0" w:noHBand="0" w:noVBand="0"/>
      </w:tblPr>
      <w:tblGrid>
        <w:gridCol w:w="6135"/>
        <w:gridCol w:w="284"/>
        <w:gridCol w:w="3435"/>
      </w:tblGrid>
      <w:tr>
        <w:tblPrEx/>
        <w:trPr>
          <w:trHeight w:val="2934"/>
        </w:trPr>
        <w:tc>
          <w:tcPr>
            <w:tcW w:w="3113" w:type="pct"/>
            <w:textDirection w:val="lrTb"/>
            <w:noWrap w:val="false"/>
          </w:tcPr>
          <w:p>
            <w:pPr>
              <w:pStyle w:val="1321"/>
            </w:pPr>
            <w:r>
              <w:t xml:space="preserve">Утвержден</w:t>
            </w:r>
            <w:r/>
          </w:p>
          <w:p>
            <w:pPr>
              <w:pStyle w:val="1321"/>
              <w:rPr>
                <w:sz w:val="24"/>
                <w:szCs w:val="24"/>
              </w:rPr>
            </w:pPr>
            <w:r>
              <w:t xml:space="preserve">54819512.20.19,04.ЭБ26.001-</w:t>
            </w:r>
            <w:r>
              <w:t xml:space="preserve">1</w:t>
            </w:r>
            <w:r>
              <w:t xml:space="preserve">4</w:t>
            </w:r>
            <w:r>
              <w:t xml:space="preserve">.00</w:t>
            </w:r>
            <w:r>
              <w:t xml:space="preserve"> 1(2,5,8</w:t>
            </w:r>
            <w:r>
              <w:t xml:space="preserve">,10</w:t>
            </w:r>
            <w:r>
              <w:t xml:space="preserve">)-ЛУ</w:t>
            </w:r>
            <w:r>
              <w:rPr>
                <w:sz w:val="24"/>
                <w:szCs w:val="24"/>
              </w:rPr>
            </w:r>
          </w:p>
        </w:tc>
        <w:tc>
          <w:tcPr>
            <w:tcW w:w="144" w:type="pct"/>
            <w:textDirection w:val="lrTb"/>
            <w:noWrap w:val="false"/>
          </w:tcPr>
          <w:p>
            <w:pPr>
              <w:pStyle w:val="1321"/>
            </w:pPr>
            <w:r/>
            <w:r/>
          </w:p>
        </w:tc>
        <w:tc>
          <w:tcPr>
            <w:tcW w:w="1743" w:type="pct"/>
            <w:textDirection w:val="lrTb"/>
            <w:noWrap w:val="false"/>
          </w:tcPr>
          <w:p>
            <w:pPr>
              <w:pStyle w:val="1321"/>
            </w:pPr>
            <w:r/>
            <w:r/>
          </w:p>
        </w:tc>
      </w:tr>
      <w:tr>
        <w:tblPrEx/>
        <w:trPr/>
        <w:tc>
          <w:tcPr>
            <w:gridSpan w:val="3"/>
            <w:tcW w:w="5000" w:type="pct"/>
            <w:vAlign w:val="center"/>
            <w:textDirection w:val="lrTb"/>
            <w:noWrap w:val="false"/>
          </w:tcPr>
          <w:p>
            <w:pPr>
              <w:pStyle w:val="1323"/>
            </w:pPr>
            <w:r>
              <w:t xml:space="preserve">Государственная интегрированная информационная система </w:t>
            </w:r>
            <w:r>
              <w:br/>
              <w:t xml:space="preserve">управления общественными финансами «Электронный бюджет» </w:t>
            </w:r>
            <w:r/>
          </w:p>
          <w:p>
            <w:pPr>
              <w:pStyle w:val="1323"/>
            </w:pPr>
            <w:r/>
            <w:r/>
          </w:p>
          <w:p>
            <w:pPr>
              <w:pStyle w:val="1323"/>
            </w:pPr>
            <w:r>
              <w:t xml:space="preserve">Подсистема ведения нормативной справочной информации</w:t>
            </w:r>
            <w:r/>
          </w:p>
        </w:tc>
      </w:tr>
      <w:tr>
        <w:tblPrEx/>
        <w:trPr>
          <w:trHeight w:val="748"/>
        </w:trPr>
        <w:tc>
          <w:tcPr>
            <w:gridSpan w:val="3"/>
            <w:tcW w:w="5000" w:type="pct"/>
            <w:vAlign w:val="center"/>
            <w:textDirection w:val="lrTb"/>
            <w:noWrap w:val="false"/>
          </w:tcPr>
          <w:p>
            <w:pPr>
              <w:pStyle w:val="1323"/>
            </w:pPr>
            <w:r>
              <w:t xml:space="preserve">Модуль ведения лицевых счетов</w:t>
            </w:r>
            <w:r/>
          </w:p>
        </w:tc>
      </w:tr>
      <w:tr>
        <w:tblPrEx/>
        <w:trPr>
          <w:trHeight w:val="1739"/>
        </w:trPr>
        <w:tc>
          <w:tcPr>
            <w:gridSpan w:val="3"/>
            <w:tcW w:w="5000" w:type="pct"/>
            <w:vAlign w:val="bottom"/>
            <w:textDirection w:val="lrTb"/>
            <w:noWrap w:val="false"/>
          </w:tcPr>
          <w:p>
            <w:pPr>
              <w:pStyle w:val="1324"/>
            </w:pPr>
            <w:r>
              <w:t xml:space="preserve">Руководство работников (представителей) участников системы «Электронный бюджет» по работе с подсистемой (компонентом, модулем)</w:t>
            </w:r>
            <w:r/>
          </w:p>
        </w:tc>
      </w:tr>
      <w:tr>
        <w:tblPrEx/>
        <w:trPr>
          <w:trHeight w:val="857"/>
        </w:trPr>
        <w:tc>
          <w:tcPr>
            <w:gridSpan w:val="3"/>
            <w:tcW w:w="5000" w:type="pct"/>
            <w:vAlign w:val="bottom"/>
            <w:textDirection w:val="lrTb"/>
            <w:noWrap w:val="false"/>
          </w:tcPr>
          <w:p>
            <w:pPr>
              <w:pStyle w:val="1325"/>
            </w:pPr>
            <w:r>
              <w:t xml:space="preserve">Том 1. Руководство для сотрудников Клиента</w:t>
            </w:r>
            <w:r/>
          </w:p>
        </w:tc>
      </w:tr>
      <w:tr>
        <w:tblPrEx/>
        <w:trPr>
          <w:trHeight w:val="795"/>
        </w:trPr>
        <w:tc>
          <w:tcPr>
            <w:gridSpan w:val="3"/>
            <w:tcW w:w="5000" w:type="pct"/>
            <w:vAlign w:val="center"/>
            <w:textDirection w:val="lrTb"/>
            <w:noWrap w:val="false"/>
          </w:tcPr>
          <w:p>
            <w:pPr>
              <w:pStyle w:val="1321"/>
            </w:pPr>
            <w:r>
              <w:t xml:space="preserve">Код документа: 54819512.20.19,04.ЭБ26.001-</w:t>
            </w:r>
            <w:r>
              <w:t xml:space="preserve">1</w:t>
            </w:r>
            <w:r>
              <w:t xml:space="preserve">4</w:t>
            </w:r>
            <w:r>
              <w:t xml:space="preserve">.00</w:t>
            </w:r>
            <w:r>
              <w:t xml:space="preserve"> </w:t>
            </w:r>
            <w:r>
              <w:t xml:space="preserve">1(2,5,8</w:t>
            </w:r>
            <w:r>
              <w:t xml:space="preserve">,10</w:t>
            </w:r>
            <w:r>
              <w:t xml:space="preserve">)</w:t>
            </w:r>
            <w:r/>
          </w:p>
        </w:tc>
      </w:tr>
      <w:tr>
        <w:tblPrEx/>
        <w:trPr/>
        <w:tc>
          <w:tcPr>
            <w:gridSpan w:val="3"/>
            <w:tcW w:w="5000" w:type="pct"/>
            <w:vAlign w:val="center"/>
            <w:textDirection w:val="lrTb"/>
            <w:noWrap w:val="false"/>
          </w:tcPr>
          <w:p>
            <w:pPr>
              <w:pStyle w:val="1321"/>
            </w:pPr>
            <w:r>
              <w:t xml:space="preserve">Листов: 13</w:t>
            </w:r>
            <w:r>
              <w:t xml:space="preserve">5</w:t>
            </w:r>
            <w:r/>
          </w:p>
        </w:tc>
      </w:tr>
    </w:tbl>
    <w:p>
      <w:pPr>
        <w:pStyle w:val="1321"/>
        <w:sectPr>
          <w:headerReference w:type="default" r:id="rId9"/>
          <w:footerReference w:type="default" r:id="rId13"/>
          <w:footnotePr/>
          <w:endnotePr/>
          <w:type w:val="nextPage"/>
          <w:pgSz w:w="11906" w:h="16838" w:orient="portrait"/>
          <w:pgMar w:top="1134" w:right="567" w:bottom="851" w:left="1701" w:header="567" w:footer="284" w:gutter="0"/>
          <w:cols w:num="1" w:sep="0" w:space="708" w:equalWidth="1"/>
          <w:docGrid w:linePitch="360"/>
        </w:sectPr>
      </w:pPr>
      <w:r/>
      <w:r/>
    </w:p>
    <w:p>
      <w:pPr>
        <w:pStyle w:val="1311"/>
        <w:outlineLvl w:val="4"/>
      </w:pPr>
      <w:r/>
      <w:bookmarkStart w:id="0" w:name="_Toc176584673"/>
      <w:r/>
      <w:bookmarkStart w:id="1" w:name="_Toc176584802"/>
      <w:r/>
      <w:bookmarkStart w:id="2" w:name="_Toc180297702"/>
      <w:r/>
      <w:bookmarkStart w:id="3" w:name="_Toc180308527"/>
      <w:r>
        <w:t xml:space="preserve">Аннотация</w:t>
      </w:r>
      <w:r/>
    </w:p>
    <w:p>
      <w:pPr>
        <w:pStyle w:val="1305"/>
      </w:pPr>
      <w:r>
        <w:t xml:space="preserve">Данный документ содержит сведения, необходимые для работы </w:t>
      </w:r>
      <w:r>
        <w:t xml:space="preserve">п</w:t>
      </w:r>
      <w:r>
        <w:t xml:space="preserve">ользователя</w:t>
      </w:r>
      <w:r>
        <w:t xml:space="preserve"> Клиента </w:t>
      </w:r>
      <w:r>
        <w:t xml:space="preserve">с </w:t>
      </w:r>
      <w:r>
        <w:t xml:space="preserve">м</w:t>
      </w:r>
      <w:r>
        <w:t xml:space="preserve">одулем </w:t>
      </w:r>
      <w:r>
        <w:t xml:space="preserve">ведения лицевых счетов</w:t>
      </w:r>
      <w:r>
        <w:t xml:space="preserve"> подсистемы ведения нормативной справочной информации государственной интегрированной </w:t>
      </w:r>
      <w:r>
        <w:t xml:space="preserve">информационной </w:t>
      </w:r>
      <w:r>
        <w:t xml:space="preserve">системы</w:t>
      </w:r>
      <w:r>
        <w:t xml:space="preserve"> </w:t>
      </w:r>
      <w:r>
        <w:t xml:space="preserve">управления общественными финансами «Электронный бюджет».</w:t>
      </w:r>
      <w:r/>
    </w:p>
    <w:p>
      <w:pPr>
        <w:pStyle w:val="1305"/>
      </w:pPr>
      <w:r>
        <w:t xml:space="preserve">Документ актуализирован на основании</w:t>
      </w:r>
      <w:r>
        <w:t xml:space="preserve"> </w:t>
      </w:r>
      <w:r>
        <w:t xml:space="preserve">Государственного контракта от 04.07.2025 № ФКУ0247/2025/РИС (1-й период работ по развитию подсистемы ведения нормативной справочной информации (</w:t>
      </w:r>
      <w:r>
        <w:rPr>
          <w:rFonts w:eastAsia="Calibri"/>
          <w:szCs w:val="24"/>
          <w:lang w:eastAsia="en-US"/>
        </w:rPr>
        <w:t xml:space="preserve">5 этап</w:t>
      </w:r>
      <w:r>
        <w:rPr>
          <w:szCs w:val="24"/>
        </w:rPr>
        <w:t xml:space="preserve">)</w:t>
      </w:r>
      <w:r>
        <w:t xml:space="preserve">)</w:t>
      </w:r>
      <w:r>
        <w:t xml:space="preserve">.</w:t>
      </w:r>
      <w:r/>
    </w:p>
    <w:p>
      <w:pPr>
        <w:pStyle w:val="1306"/>
      </w:pPr>
      <w:r>
        <w:t xml:space="preserve">Перечень подсистем (компонентов, модулей) информационной системы, для которой был </w:t>
      </w:r>
      <w:r>
        <w:rPr>
          <w:szCs w:val="22"/>
        </w:rPr>
        <w:t xml:space="preserve">создан</w:t>
      </w:r>
      <w:r>
        <w:t xml:space="preserve"> документ:</w:t>
      </w:r>
      <w:r/>
    </w:p>
    <w:p>
      <w:pPr>
        <w:pStyle w:val="1296"/>
      </w:pPr>
      <w:r>
        <w:t xml:space="preserve">19,04 – модуль ведения лицевых счетов подсистемы ведения нормативной справочной информации государственной интегрированной информационной системы управления общественными финансами «Электронный бюджет».</w:t>
      </w:r>
      <w:r/>
    </w:p>
    <w:p>
      <w:pPr>
        <w:pStyle w:val="1306"/>
      </w:pPr>
      <w:r>
        <w:t xml:space="preserve">Перечень областей применения документа:</w:t>
      </w:r>
      <w:r/>
    </w:p>
    <w:p>
      <w:pPr>
        <w:pStyle w:val="1296"/>
      </w:pPr>
      <w:r>
        <w:t xml:space="preserve">1 – Центральный аппарат Федерального казначейства;</w:t>
      </w:r>
      <w:r/>
    </w:p>
    <w:p>
      <w:pPr>
        <w:pStyle w:val="1296"/>
      </w:pPr>
      <w:r>
        <w:t xml:space="preserve">2 – </w:t>
      </w:r>
      <w:r>
        <w:t xml:space="preserve">т</w:t>
      </w:r>
      <w:r>
        <w:t xml:space="preserve">ерриториальные органы Федерального казначейства;</w:t>
      </w:r>
      <w:r/>
    </w:p>
    <w:p>
      <w:pPr>
        <w:pStyle w:val="1296"/>
      </w:pPr>
      <w:r>
        <w:t xml:space="preserve">5 – Межрегиональное операционное управление Федерального казначейства;</w:t>
      </w:r>
      <w:r/>
    </w:p>
    <w:p>
      <w:pPr>
        <w:pStyle w:val="1296"/>
      </w:pPr>
      <w:r>
        <w:t xml:space="preserve">8 – Федеральное казенное учреждение «Центр по обеспечению де</w:t>
      </w:r>
      <w:r>
        <w:t xml:space="preserve">ятельности Казначейства России»;</w:t>
      </w:r>
      <w:r/>
    </w:p>
    <w:p>
      <w:pPr>
        <w:pStyle w:val="1296"/>
      </w:pPr>
      <w:r>
        <w:t xml:space="preserve">10 – межрегиональные Управления, кроме Межрегионального операционного управления.</w:t>
      </w:r>
      <w:r/>
    </w:p>
    <w:p>
      <w:pPr>
        <w:pStyle w:val="1311"/>
        <w:tabs>
          <w:tab w:val="left" w:pos="4177" w:leader="none"/>
        </w:tabs>
        <w:outlineLvl w:val="4"/>
      </w:pPr>
      <w:r>
        <w:rPr>
          <w:rStyle w:val="1844"/>
        </w:rPr>
        <w:br w:type="page" w:clear="all"/>
      </w:r>
      <w:r>
        <w:t xml:space="preserve">СОДЕРЖАНИЕ</w:t>
      </w:r>
      <w:bookmarkEnd w:id="0"/>
      <w:r/>
      <w:bookmarkEnd w:id="1"/>
      <w:r/>
      <w:bookmarkEnd w:id="2"/>
      <w:r/>
      <w:bookmarkEnd w:id="3"/>
      <w:r/>
      <w:r/>
    </w:p>
    <w:p>
      <w:pPr>
        <w:pStyle w:val="1332"/>
        <w:rPr>
          <w:rFonts w:asciiTheme="minorHAnsi" w:hAnsiTheme="minorHAnsi" w:eastAsiaTheme="minorEastAsia" w:cstheme="minorBidi"/>
          <w:b w:val="0"/>
          <w:bCs w:val="0"/>
          <w:caps w:val="0"/>
          <w14:ligatures w14:val="standardContextual"/>
        </w:rPr>
      </w:pPr>
      <w:r/>
      <w:bookmarkStart w:id="4" w:name="_Toc490478086"/>
      <w:r>
        <w:rPr>
          <w:b w:val="0"/>
          <w:bCs w:val="0"/>
          <w:caps w:val="0"/>
        </w:rPr>
        <w:fldChar w:fldCharType="begin"/>
      </w:r>
      <w:r>
        <w:rPr>
          <w:b w:val="0"/>
          <w:bCs w:val="0"/>
          <w:caps w:val="0"/>
        </w:rPr>
        <w:instrText xml:space="preserve"> TOC \o "1-4" \h \z \u </w:instrText>
      </w:r>
      <w:r>
        <w:rPr>
          <w:b w:val="0"/>
          <w:bCs w:val="0"/>
          <w:caps w:val="0"/>
        </w:rPr>
        <w:fldChar w:fldCharType="separate"/>
      </w:r>
      <w:hyperlink w:tooltip="#_Toc221869875" w:anchor="_Toc221869875" w:history="1">
        <w:r>
          <w:rPr>
            <w:rStyle w:val="1331"/>
          </w:rPr>
          <w:t xml:space="preserve">Перечень таблиц</w:t>
        </w:r>
        <w:r>
          <w:tab/>
        </w:r>
        <w:r>
          <w:fldChar w:fldCharType="begin"/>
        </w:r>
        <w:r>
          <w:instrText xml:space="preserve"> PAGEREF _Toc221869875 \h </w:instrText>
        </w:r>
        <w:r/>
        <w:r>
          <w:fldChar w:fldCharType="separate"/>
        </w:r>
        <w:r>
          <w:t xml:space="preserve">6</w:t>
        </w:r>
        <w:r>
          <w:fldChar w:fldCharType="end"/>
        </w:r>
      </w:hyperlink>
      <w:r/>
      <w:r>
        <w:rPr>
          <w:rFonts w:asciiTheme="minorHAnsi" w:hAnsiTheme="minorHAnsi" w:eastAsiaTheme="minorEastAsia" w:cstheme="minorBidi"/>
          <w:b w:val="0"/>
          <w:bCs w:val="0"/>
          <w:caps w:val="0"/>
          <w14:ligatures w14:val="standardContextual"/>
        </w:rPr>
      </w:r>
    </w:p>
    <w:p>
      <w:pPr>
        <w:pStyle w:val="1332"/>
        <w:rPr>
          <w:rFonts w:asciiTheme="minorHAnsi" w:hAnsiTheme="minorHAnsi" w:eastAsiaTheme="minorEastAsia" w:cstheme="minorBidi"/>
          <w:b w:val="0"/>
          <w:bCs w:val="0"/>
          <w:caps w:val="0"/>
          <w14:ligatures w14:val="standardContextual"/>
        </w:rPr>
      </w:pPr>
      <w:r/>
      <w:hyperlink w:tooltip="#_Toc221869876" w:anchor="_Toc221869876" w:history="1">
        <w:r>
          <w:rPr>
            <w:rStyle w:val="1331"/>
          </w:rPr>
          <w:t xml:space="preserve">Перечень рисунков</w:t>
        </w:r>
        <w:r>
          <w:tab/>
        </w:r>
        <w:r>
          <w:fldChar w:fldCharType="begin"/>
        </w:r>
        <w:r>
          <w:instrText xml:space="preserve"> PAGEREF _Toc221869876 \h </w:instrText>
        </w:r>
        <w:r/>
        <w:r>
          <w:fldChar w:fldCharType="separate"/>
        </w:r>
        <w:r>
          <w:t xml:space="preserve">7</w:t>
        </w:r>
        <w:r>
          <w:fldChar w:fldCharType="end"/>
        </w:r>
      </w:hyperlink>
      <w:r/>
      <w:r>
        <w:rPr>
          <w:rFonts w:asciiTheme="minorHAnsi" w:hAnsiTheme="minorHAnsi" w:eastAsiaTheme="minorEastAsia" w:cstheme="minorBidi"/>
          <w:b w:val="0"/>
          <w:bCs w:val="0"/>
          <w:caps w:val="0"/>
          <w14:ligatures w14:val="standardContextual"/>
        </w:rPr>
      </w:r>
    </w:p>
    <w:p>
      <w:pPr>
        <w:pStyle w:val="1332"/>
        <w:rPr>
          <w:rFonts w:asciiTheme="minorHAnsi" w:hAnsiTheme="minorHAnsi" w:eastAsiaTheme="minorEastAsia" w:cstheme="minorBidi"/>
          <w:b w:val="0"/>
          <w:bCs w:val="0"/>
          <w:caps w:val="0"/>
          <w14:ligatures w14:val="standardContextual"/>
        </w:rPr>
      </w:pPr>
      <w:r/>
      <w:hyperlink w:tooltip="#_Toc221869877" w:anchor="_Toc221869877" w:history="1">
        <w:r>
          <w:rPr>
            <w:rStyle w:val="1331"/>
          </w:rPr>
          <w:t xml:space="preserve">Перечень терминов и сокращений</w:t>
        </w:r>
        <w:r>
          <w:tab/>
        </w:r>
        <w:r>
          <w:fldChar w:fldCharType="begin"/>
        </w:r>
        <w:r>
          <w:instrText xml:space="preserve"> PAGEREF _Toc221869877 \h </w:instrText>
        </w:r>
        <w:r/>
        <w:r>
          <w:fldChar w:fldCharType="separate"/>
        </w:r>
        <w:r>
          <w:t xml:space="preserve">9</w:t>
        </w:r>
        <w:r>
          <w:fldChar w:fldCharType="end"/>
        </w:r>
      </w:hyperlink>
      <w:r/>
      <w:r>
        <w:rPr>
          <w:rFonts w:asciiTheme="minorHAnsi" w:hAnsiTheme="minorHAnsi" w:eastAsiaTheme="minorEastAsia" w:cstheme="minorBidi"/>
          <w:b w:val="0"/>
          <w:bCs w:val="0"/>
          <w:caps w:val="0"/>
          <w14:ligatures w14:val="standardContextual"/>
        </w:rPr>
      </w:r>
    </w:p>
    <w:p>
      <w:pPr>
        <w:pStyle w:val="1332"/>
        <w:rPr>
          <w:rFonts w:asciiTheme="minorHAnsi" w:hAnsiTheme="minorHAnsi" w:eastAsiaTheme="minorEastAsia" w:cstheme="minorBidi"/>
          <w:b w:val="0"/>
          <w:bCs w:val="0"/>
          <w:caps w:val="0"/>
          <w14:ligatures w14:val="standardContextual"/>
        </w:rPr>
      </w:pPr>
      <w:r/>
      <w:hyperlink w:tooltip="#_Toc221869878" w:anchor="_Toc221869878" w:history="1">
        <w:r>
          <w:rPr>
            <w:rStyle w:val="1331"/>
          </w:rPr>
          <w:t xml:space="preserve">1.</w:t>
        </w:r>
        <w:r>
          <w:rPr>
            <w:rFonts w:asciiTheme="minorHAnsi" w:hAnsiTheme="minorHAnsi" w:eastAsiaTheme="minorEastAsia" w:cstheme="minorBidi"/>
            <w:b w:val="0"/>
            <w:bCs w:val="0"/>
            <w:caps w:val="0"/>
            <w14:ligatures w14:val="standardContextual"/>
          </w:rPr>
          <w:tab/>
        </w:r>
        <w:r>
          <w:rPr>
            <w:rStyle w:val="1331"/>
          </w:rPr>
          <w:t xml:space="preserve">Общие сведения</w:t>
        </w:r>
        <w:r>
          <w:tab/>
        </w:r>
        <w:r>
          <w:fldChar w:fldCharType="begin"/>
        </w:r>
        <w:r>
          <w:instrText xml:space="preserve"> PAGEREF _Toc221869878 \h </w:instrText>
        </w:r>
        <w:r/>
        <w:r>
          <w:fldChar w:fldCharType="separate"/>
        </w:r>
        <w:r>
          <w:t xml:space="preserve">15</w:t>
        </w:r>
        <w:r>
          <w:fldChar w:fldCharType="end"/>
        </w:r>
      </w:hyperlink>
      <w:r/>
      <w:r>
        <w:rPr>
          <w:rFonts w:asciiTheme="minorHAnsi" w:hAnsiTheme="minorHAnsi" w:eastAsiaTheme="minorEastAsia" w:cstheme="minorBidi"/>
          <w:b w:val="0"/>
          <w:bCs w:val="0"/>
          <w:caps w:val="0"/>
          <w14:ligatures w14:val="standardContextual"/>
        </w:rPr>
      </w:r>
    </w:p>
    <w:p>
      <w:pPr>
        <w:pStyle w:val="1333"/>
        <w:rPr>
          <w:rFonts w:asciiTheme="minorHAnsi" w:hAnsiTheme="minorHAnsi" w:eastAsiaTheme="minorEastAsia" w:cstheme="minorBidi"/>
          <w:bCs w:val="0"/>
          <w14:ligatures w14:val="standardContextual"/>
        </w:rPr>
      </w:pPr>
      <w:r/>
      <w:hyperlink w:tooltip="#_Toc221869879" w:anchor="_Toc221869879" w:history="1">
        <w:r>
          <w:rPr>
            <w:rStyle w:val="1331"/>
          </w:rPr>
          <w:t xml:space="preserve">1.1.</w:t>
        </w:r>
        <w:r>
          <w:rPr>
            <w:rFonts w:asciiTheme="minorHAnsi" w:hAnsiTheme="minorHAnsi" w:eastAsiaTheme="minorEastAsia" w:cstheme="minorBidi"/>
            <w:bCs w:val="0"/>
            <w14:ligatures w14:val="standardContextual"/>
          </w:rPr>
          <w:tab/>
        </w:r>
        <w:r>
          <w:rPr>
            <w:rStyle w:val="1331"/>
          </w:rPr>
          <w:t xml:space="preserve">Область применения</w:t>
        </w:r>
        <w:r>
          <w:tab/>
        </w:r>
        <w:r>
          <w:fldChar w:fldCharType="begin"/>
        </w:r>
        <w:r>
          <w:instrText xml:space="preserve"> PAGEREF _Toc221869879 \h </w:instrText>
        </w:r>
        <w:r/>
        <w:r>
          <w:fldChar w:fldCharType="separate"/>
        </w:r>
        <w:r>
          <w:t xml:space="preserve">15</w:t>
        </w:r>
        <w:r>
          <w:fldChar w:fldCharType="end"/>
        </w:r>
      </w:hyperlink>
      <w:r/>
      <w:r>
        <w:rPr>
          <w:rFonts w:asciiTheme="minorHAnsi" w:hAnsiTheme="minorHAnsi" w:eastAsiaTheme="minorEastAsia" w:cstheme="minorBidi"/>
          <w:bCs w:val="0"/>
          <w14:ligatures w14:val="standardContextual"/>
        </w:rPr>
      </w:r>
    </w:p>
    <w:p>
      <w:pPr>
        <w:pStyle w:val="1333"/>
        <w:rPr>
          <w:rFonts w:asciiTheme="minorHAnsi" w:hAnsiTheme="minorHAnsi" w:eastAsiaTheme="minorEastAsia" w:cstheme="minorBidi"/>
          <w:bCs w:val="0"/>
          <w14:ligatures w14:val="standardContextual"/>
        </w:rPr>
      </w:pPr>
      <w:r/>
      <w:hyperlink w:tooltip="#_Toc221869880" w:anchor="_Toc221869880" w:history="1">
        <w:r>
          <w:rPr>
            <w:rStyle w:val="1331"/>
          </w:rPr>
          <w:t xml:space="preserve">1.2.</w:t>
        </w:r>
        <w:r>
          <w:rPr>
            <w:rFonts w:asciiTheme="minorHAnsi" w:hAnsiTheme="minorHAnsi" w:eastAsiaTheme="minorEastAsia" w:cstheme="minorBidi"/>
            <w:bCs w:val="0"/>
            <w14:ligatures w14:val="standardContextual"/>
          </w:rPr>
          <w:tab/>
        </w:r>
        <w:r>
          <w:rPr>
            <w:rStyle w:val="1331"/>
          </w:rPr>
          <w:t xml:space="preserve">Краткое описание возможностей</w:t>
        </w:r>
        <w:r>
          <w:tab/>
        </w:r>
        <w:r>
          <w:fldChar w:fldCharType="begin"/>
        </w:r>
        <w:r>
          <w:instrText xml:space="preserve"> PAGEREF _Toc221869880 \h </w:instrText>
        </w:r>
        <w:r/>
        <w:r>
          <w:fldChar w:fldCharType="separate"/>
        </w:r>
        <w:r>
          <w:t xml:space="preserve">15</w:t>
        </w:r>
        <w:r>
          <w:fldChar w:fldCharType="end"/>
        </w:r>
      </w:hyperlink>
      <w:r/>
      <w:r>
        <w:rPr>
          <w:rFonts w:asciiTheme="minorHAnsi" w:hAnsiTheme="minorHAnsi" w:eastAsiaTheme="minorEastAsia" w:cstheme="minorBidi"/>
          <w:bCs w:val="0"/>
          <w14:ligatures w14:val="standardContextual"/>
        </w:rPr>
      </w:r>
    </w:p>
    <w:p>
      <w:pPr>
        <w:pStyle w:val="1333"/>
        <w:rPr>
          <w:rFonts w:asciiTheme="minorHAnsi" w:hAnsiTheme="minorHAnsi" w:eastAsiaTheme="minorEastAsia" w:cstheme="minorBidi"/>
          <w:bCs w:val="0"/>
          <w14:ligatures w14:val="standardContextual"/>
        </w:rPr>
      </w:pPr>
      <w:r/>
      <w:hyperlink w:tooltip="#_Toc221869881" w:anchor="_Toc221869881" w:history="1">
        <w:r>
          <w:rPr>
            <w:rStyle w:val="1331"/>
          </w:rPr>
          <w:t xml:space="preserve">1.3.</w:t>
        </w:r>
        <w:r>
          <w:rPr>
            <w:rFonts w:asciiTheme="minorHAnsi" w:hAnsiTheme="minorHAnsi" w:eastAsiaTheme="minorEastAsia" w:cstheme="minorBidi"/>
            <w:bCs w:val="0"/>
            <w14:ligatures w14:val="standardContextual"/>
          </w:rPr>
          <w:tab/>
        </w:r>
        <w:r>
          <w:rPr>
            <w:rStyle w:val="1331"/>
          </w:rPr>
          <w:t xml:space="preserve">Функциональные роли, выполняемые пользователем</w:t>
        </w:r>
        <w:r>
          <w:tab/>
        </w:r>
        <w:r>
          <w:fldChar w:fldCharType="begin"/>
        </w:r>
        <w:r>
          <w:instrText xml:space="preserve"> PAGEREF _Toc221869881 \h </w:instrText>
        </w:r>
        <w:r/>
        <w:r>
          <w:fldChar w:fldCharType="separate"/>
        </w:r>
        <w:r>
          <w:t xml:space="preserve">15</w:t>
        </w:r>
        <w:r>
          <w:fldChar w:fldCharType="end"/>
        </w:r>
      </w:hyperlink>
      <w:r/>
      <w:r>
        <w:rPr>
          <w:rFonts w:asciiTheme="minorHAnsi" w:hAnsiTheme="minorHAnsi" w:eastAsiaTheme="minorEastAsia" w:cstheme="minorBidi"/>
          <w:bCs w:val="0"/>
          <w14:ligatures w14:val="standardContextual"/>
        </w:rPr>
      </w:r>
    </w:p>
    <w:p>
      <w:pPr>
        <w:pStyle w:val="1333"/>
        <w:rPr>
          <w:rFonts w:asciiTheme="minorHAnsi" w:hAnsiTheme="minorHAnsi" w:eastAsiaTheme="minorEastAsia" w:cstheme="minorBidi"/>
          <w:bCs w:val="0"/>
          <w14:ligatures w14:val="standardContextual"/>
        </w:rPr>
      </w:pPr>
      <w:r/>
      <w:hyperlink w:tooltip="#_Toc221869882" w:anchor="_Toc221869882" w:history="1">
        <w:r>
          <w:rPr>
            <w:rStyle w:val="1331"/>
          </w:rPr>
          <w:t xml:space="preserve">1.4.</w:t>
        </w:r>
        <w:r>
          <w:rPr>
            <w:rFonts w:asciiTheme="minorHAnsi" w:hAnsiTheme="minorHAnsi" w:eastAsiaTheme="minorEastAsia" w:cstheme="minorBidi"/>
            <w:bCs w:val="0"/>
            <w14:ligatures w14:val="standardContextual"/>
          </w:rPr>
          <w:tab/>
        </w:r>
        <w:r>
          <w:rPr>
            <w:rStyle w:val="1331"/>
          </w:rPr>
          <w:t xml:space="preserve">Уровень подготовки пользователя</w:t>
        </w:r>
        <w:r>
          <w:tab/>
        </w:r>
        <w:r>
          <w:fldChar w:fldCharType="begin"/>
        </w:r>
        <w:r>
          <w:instrText xml:space="preserve"> PAGEREF _Toc221869882 \h </w:instrText>
        </w:r>
        <w:r/>
        <w:r>
          <w:fldChar w:fldCharType="separate"/>
        </w:r>
        <w:r>
          <w:t xml:space="preserve">20</w:t>
        </w:r>
        <w:r>
          <w:fldChar w:fldCharType="end"/>
        </w:r>
      </w:hyperlink>
      <w:r/>
      <w:r>
        <w:rPr>
          <w:rFonts w:asciiTheme="minorHAnsi" w:hAnsiTheme="minorHAnsi" w:eastAsiaTheme="minorEastAsia" w:cstheme="minorBidi"/>
          <w:bCs w:val="0"/>
          <w14:ligatures w14:val="standardContextual"/>
        </w:rPr>
      </w:r>
    </w:p>
    <w:p>
      <w:pPr>
        <w:pStyle w:val="1333"/>
        <w:rPr>
          <w:rFonts w:asciiTheme="minorHAnsi" w:hAnsiTheme="minorHAnsi" w:eastAsiaTheme="minorEastAsia" w:cstheme="minorBidi"/>
          <w:bCs w:val="0"/>
          <w14:ligatures w14:val="standardContextual"/>
        </w:rPr>
      </w:pPr>
      <w:r/>
      <w:hyperlink w:tooltip="#_Toc221869883" w:anchor="_Toc221869883" w:history="1">
        <w:r>
          <w:rPr>
            <w:rStyle w:val="1331"/>
          </w:rPr>
          <w:t xml:space="preserve">1.5.</w:t>
        </w:r>
        <w:r>
          <w:rPr>
            <w:rFonts w:asciiTheme="minorHAnsi" w:hAnsiTheme="minorHAnsi" w:eastAsiaTheme="minorEastAsia" w:cstheme="minorBidi"/>
            <w:bCs w:val="0"/>
            <w14:ligatures w14:val="standardContextual"/>
          </w:rPr>
          <w:tab/>
        </w:r>
        <w:r>
          <w:rPr>
            <w:rStyle w:val="1331"/>
          </w:rPr>
          <w:t xml:space="preserve">Перечень документации, с которой необходимо ознакомиться пользователю</w:t>
        </w:r>
        <w:r>
          <w:tab/>
        </w:r>
        <w:r>
          <w:fldChar w:fldCharType="begin"/>
        </w:r>
        <w:r>
          <w:instrText xml:space="preserve"> PAGEREF _Toc221869883 \h </w:instrText>
        </w:r>
        <w:r/>
        <w:r>
          <w:fldChar w:fldCharType="separate"/>
        </w:r>
        <w:r>
          <w:t xml:space="preserve">20</w:t>
        </w:r>
        <w:r>
          <w:fldChar w:fldCharType="end"/>
        </w:r>
      </w:hyperlink>
      <w:r/>
      <w:r>
        <w:rPr>
          <w:rFonts w:asciiTheme="minorHAnsi" w:hAnsiTheme="minorHAnsi" w:eastAsiaTheme="minorEastAsia" w:cstheme="minorBidi"/>
          <w:bCs w:val="0"/>
          <w14:ligatures w14:val="standardContextual"/>
        </w:rPr>
      </w:r>
    </w:p>
    <w:p>
      <w:pPr>
        <w:pStyle w:val="1332"/>
        <w:rPr>
          <w:rFonts w:asciiTheme="minorHAnsi" w:hAnsiTheme="minorHAnsi" w:eastAsiaTheme="minorEastAsia" w:cstheme="minorBidi"/>
          <w:b w:val="0"/>
          <w:bCs w:val="0"/>
          <w:caps w:val="0"/>
          <w14:ligatures w14:val="standardContextual"/>
        </w:rPr>
      </w:pPr>
      <w:r/>
      <w:hyperlink w:tooltip="#_Toc221869884" w:anchor="_Toc221869884" w:history="1">
        <w:r>
          <w:rPr>
            <w:rStyle w:val="1331"/>
          </w:rPr>
          <w:t xml:space="preserve">2.</w:t>
        </w:r>
        <w:r>
          <w:rPr>
            <w:rFonts w:asciiTheme="minorHAnsi" w:hAnsiTheme="minorHAnsi" w:eastAsiaTheme="minorEastAsia" w:cstheme="minorBidi"/>
            <w:b w:val="0"/>
            <w:bCs w:val="0"/>
            <w:caps w:val="0"/>
            <w14:ligatures w14:val="standardContextual"/>
          </w:rPr>
          <w:tab/>
        </w:r>
        <w:r>
          <w:rPr>
            <w:rStyle w:val="1331"/>
          </w:rPr>
          <w:t xml:space="preserve">Описание порядка работы с Модулем ведения ЛС НСИ ЭБ</w:t>
        </w:r>
        <w:r>
          <w:tab/>
        </w:r>
        <w:r>
          <w:fldChar w:fldCharType="begin"/>
        </w:r>
        <w:r>
          <w:instrText xml:space="preserve"> PAGEREF _Toc221869884 \h </w:instrText>
        </w:r>
        <w:r/>
        <w:r>
          <w:fldChar w:fldCharType="separate"/>
        </w:r>
        <w:r>
          <w:t xml:space="preserve">22</w:t>
        </w:r>
        <w:r>
          <w:fldChar w:fldCharType="end"/>
        </w:r>
      </w:hyperlink>
      <w:r/>
      <w:r>
        <w:rPr>
          <w:rFonts w:asciiTheme="minorHAnsi" w:hAnsiTheme="minorHAnsi" w:eastAsiaTheme="minorEastAsia" w:cstheme="minorBidi"/>
          <w:b w:val="0"/>
          <w:bCs w:val="0"/>
          <w:caps w:val="0"/>
          <w14:ligatures w14:val="standardContextual"/>
        </w:rPr>
      </w:r>
    </w:p>
    <w:p>
      <w:pPr>
        <w:pStyle w:val="1332"/>
        <w:rPr>
          <w:rFonts w:asciiTheme="minorHAnsi" w:hAnsiTheme="minorHAnsi" w:eastAsiaTheme="minorEastAsia" w:cstheme="minorBidi"/>
          <w:b w:val="0"/>
          <w:bCs w:val="0"/>
          <w:caps w:val="0"/>
          <w14:ligatures w14:val="standardContextual"/>
        </w:rPr>
      </w:pPr>
      <w:r/>
      <w:hyperlink w:tooltip="#_Toc221869885" w:anchor="_Toc221869885" w:history="1">
        <w:r>
          <w:rPr>
            <w:rStyle w:val="1331"/>
          </w:rPr>
          <w:t xml:space="preserve">3.</w:t>
        </w:r>
        <w:r>
          <w:rPr>
            <w:rFonts w:asciiTheme="minorHAnsi" w:hAnsiTheme="minorHAnsi" w:eastAsiaTheme="minorEastAsia" w:cstheme="minorBidi"/>
            <w:b w:val="0"/>
            <w:bCs w:val="0"/>
            <w:caps w:val="0"/>
            <w14:ligatures w14:val="standardContextual"/>
          </w:rPr>
          <w:tab/>
        </w:r>
        <w:r>
          <w:rPr>
            <w:rStyle w:val="1331"/>
          </w:rPr>
          <w:t xml:space="preserve">Описание функций и бизнес-процессов Модуля ведения ЛС НСИ ЭБ</w:t>
        </w:r>
        <w:r>
          <w:tab/>
        </w:r>
        <w:r>
          <w:fldChar w:fldCharType="begin"/>
        </w:r>
        <w:r>
          <w:instrText xml:space="preserve"> PAGEREF _Toc221869885 \h </w:instrText>
        </w:r>
        <w:r/>
        <w:r>
          <w:fldChar w:fldCharType="separate"/>
        </w:r>
        <w:r>
          <w:t xml:space="preserve">23</w:t>
        </w:r>
        <w:r>
          <w:fldChar w:fldCharType="end"/>
        </w:r>
      </w:hyperlink>
      <w:r/>
      <w:r>
        <w:rPr>
          <w:rFonts w:asciiTheme="minorHAnsi" w:hAnsiTheme="minorHAnsi" w:eastAsiaTheme="minorEastAsia" w:cstheme="minorBidi"/>
          <w:b w:val="0"/>
          <w:bCs w:val="0"/>
          <w:caps w:val="0"/>
          <w14:ligatures w14:val="standardContextual"/>
        </w:rPr>
      </w:r>
    </w:p>
    <w:p>
      <w:pPr>
        <w:pStyle w:val="1333"/>
        <w:rPr>
          <w:rFonts w:asciiTheme="minorHAnsi" w:hAnsiTheme="minorHAnsi" w:eastAsiaTheme="minorEastAsia" w:cstheme="minorBidi"/>
          <w:bCs w:val="0"/>
          <w14:ligatures w14:val="standardContextual"/>
        </w:rPr>
      </w:pPr>
      <w:r/>
      <w:hyperlink w:tooltip="#_Toc221869886" w:anchor="_Toc221869886" w:history="1">
        <w:r>
          <w:rPr>
            <w:rStyle w:val="1331"/>
          </w:rPr>
          <w:t xml:space="preserve">3.1.</w:t>
        </w:r>
        <w:r>
          <w:rPr>
            <w:rFonts w:asciiTheme="minorHAnsi" w:hAnsiTheme="minorHAnsi" w:eastAsiaTheme="minorEastAsia" w:cstheme="minorBidi"/>
            <w:bCs w:val="0"/>
            <w14:ligatures w14:val="standardContextual"/>
          </w:rPr>
          <w:tab/>
        </w:r>
        <w:r>
          <w:rPr>
            <w:rStyle w:val="1331"/>
          </w:rPr>
          <w:t xml:space="preserve">Условия, при соблюдении (выполнении, наступлении) которых обеспечивается применение средства автоматизации в соответствии с назначением (например, вид ЭВМ и конфигурация технических средств)</w:t>
        </w:r>
        <w:r>
          <w:tab/>
        </w:r>
        <w:r>
          <w:fldChar w:fldCharType="begin"/>
        </w:r>
        <w:r>
          <w:instrText xml:space="preserve"> PAGEREF _Toc221869886 \h </w:instrText>
        </w:r>
        <w:r/>
        <w:r>
          <w:fldChar w:fldCharType="separate"/>
        </w:r>
        <w:r>
          <w:t xml:space="preserve">24</w:t>
        </w:r>
        <w:r>
          <w:fldChar w:fldCharType="end"/>
        </w:r>
      </w:hyperlink>
      <w:r/>
      <w:r>
        <w:rPr>
          <w:rFonts w:asciiTheme="minorHAnsi" w:hAnsiTheme="minorHAnsi" w:eastAsiaTheme="minorEastAsia" w:cstheme="minorBidi"/>
          <w:bCs w:val="0"/>
          <w14:ligatures w14:val="standardContextual"/>
        </w:rPr>
      </w:r>
    </w:p>
    <w:p>
      <w:pPr>
        <w:pStyle w:val="1332"/>
        <w:rPr>
          <w:rFonts w:asciiTheme="minorHAnsi" w:hAnsiTheme="minorHAnsi" w:eastAsiaTheme="minorEastAsia" w:cstheme="minorBidi"/>
          <w:b w:val="0"/>
          <w:bCs w:val="0"/>
          <w:caps w:val="0"/>
          <w14:ligatures w14:val="standardContextual"/>
        </w:rPr>
      </w:pPr>
      <w:r/>
      <w:hyperlink w:tooltip="#_Toc221869887" w:anchor="_Toc221869887" w:history="1">
        <w:r>
          <w:rPr>
            <w:rStyle w:val="1331"/>
          </w:rPr>
          <w:t xml:space="preserve">4.</w:t>
        </w:r>
        <w:r>
          <w:rPr>
            <w:rFonts w:asciiTheme="minorHAnsi" w:hAnsiTheme="minorHAnsi" w:eastAsiaTheme="minorEastAsia" w:cstheme="minorBidi"/>
            <w:b w:val="0"/>
            <w:bCs w:val="0"/>
            <w:caps w:val="0"/>
            <w14:ligatures w14:val="standardContextual"/>
          </w:rPr>
          <w:tab/>
        </w:r>
        <w:r>
          <w:rPr>
            <w:rStyle w:val="1331"/>
          </w:rPr>
          <w:t xml:space="preserve">Описание последовательности действий работника</w:t>
        </w:r>
        <w:r>
          <w:tab/>
        </w:r>
        <w:r>
          <w:fldChar w:fldCharType="begin"/>
        </w:r>
        <w:r>
          <w:instrText xml:space="preserve"> PAGEREF _Toc221869887 \h </w:instrText>
        </w:r>
        <w:r/>
        <w:r>
          <w:fldChar w:fldCharType="separate"/>
        </w:r>
        <w:r>
          <w:t xml:space="preserve">27</w:t>
        </w:r>
        <w:r>
          <w:fldChar w:fldCharType="end"/>
        </w:r>
      </w:hyperlink>
      <w:r/>
      <w:r>
        <w:rPr>
          <w:rFonts w:asciiTheme="minorHAnsi" w:hAnsiTheme="minorHAnsi" w:eastAsiaTheme="minorEastAsia" w:cstheme="minorBidi"/>
          <w:b w:val="0"/>
          <w:bCs w:val="0"/>
          <w:caps w:val="0"/>
          <w14:ligatures w14:val="standardContextual"/>
        </w:rPr>
      </w:r>
    </w:p>
    <w:p>
      <w:pPr>
        <w:pStyle w:val="1333"/>
        <w:rPr>
          <w:rFonts w:asciiTheme="minorHAnsi" w:hAnsiTheme="minorHAnsi" w:eastAsiaTheme="minorEastAsia" w:cstheme="minorBidi"/>
          <w:bCs w:val="0"/>
          <w14:ligatures w14:val="standardContextual"/>
        </w:rPr>
      </w:pPr>
      <w:r/>
      <w:hyperlink w:tooltip="#_Toc221869888" w:anchor="_Toc221869888" w:history="1">
        <w:r>
          <w:rPr>
            <w:rStyle w:val="1331"/>
          </w:rPr>
          <w:t xml:space="preserve">4.1.</w:t>
        </w:r>
        <w:r>
          <w:rPr>
            <w:rFonts w:asciiTheme="minorHAnsi" w:hAnsiTheme="minorHAnsi" w:eastAsiaTheme="minorEastAsia" w:cstheme="minorBidi"/>
            <w:bCs w:val="0"/>
            <w14:ligatures w14:val="standardContextual"/>
          </w:rPr>
          <w:tab/>
        </w:r>
        <w:r>
          <w:rPr>
            <w:rStyle w:val="1331"/>
          </w:rPr>
          <w:t xml:space="preserve">Подготовка к работе</w:t>
        </w:r>
        <w:r>
          <w:tab/>
        </w:r>
        <w:r>
          <w:fldChar w:fldCharType="begin"/>
        </w:r>
        <w:r>
          <w:instrText xml:space="preserve"> PAGEREF _Toc221869888 \h </w:instrText>
        </w:r>
        <w:r/>
        <w:r>
          <w:fldChar w:fldCharType="separate"/>
        </w:r>
        <w:r>
          <w:t xml:space="preserve">27</w:t>
        </w:r>
        <w:r>
          <w:fldChar w:fldCharType="end"/>
        </w:r>
      </w:hyperlink>
      <w:r/>
      <w:r>
        <w:rPr>
          <w:rFonts w:asciiTheme="minorHAnsi" w:hAnsiTheme="minorHAnsi" w:eastAsiaTheme="minorEastAsia" w:cstheme="minorBidi"/>
          <w:bCs w:val="0"/>
          <w14:ligatures w14:val="standardContextual"/>
        </w:rPr>
      </w:r>
    </w:p>
    <w:p>
      <w:pPr>
        <w:pStyle w:val="1333"/>
        <w:rPr>
          <w:rFonts w:asciiTheme="minorHAnsi" w:hAnsiTheme="minorHAnsi" w:eastAsiaTheme="minorEastAsia" w:cstheme="minorBidi"/>
          <w:bCs w:val="0"/>
          <w14:ligatures w14:val="standardContextual"/>
        </w:rPr>
      </w:pPr>
      <w:r/>
      <w:hyperlink w:tooltip="#_Toc221869889" w:anchor="_Toc221869889" w:history="1">
        <w:r>
          <w:rPr>
            <w:rStyle w:val="1331"/>
          </w:rPr>
          <w:t xml:space="preserve">4.2.</w:t>
        </w:r>
        <w:r>
          <w:rPr>
            <w:rFonts w:asciiTheme="minorHAnsi" w:hAnsiTheme="minorHAnsi" w:eastAsiaTheme="minorEastAsia" w:cstheme="minorBidi"/>
            <w:bCs w:val="0"/>
            <w14:ligatures w14:val="standardContextual"/>
          </w:rPr>
          <w:tab/>
        </w:r>
        <w:r>
          <w:rPr>
            <w:rStyle w:val="1331"/>
          </w:rPr>
          <w:t xml:space="preserve">Ведение справочника «Книга регистрации лицевых счетов»</w:t>
        </w:r>
        <w:r>
          <w:tab/>
        </w:r>
        <w:r>
          <w:fldChar w:fldCharType="begin"/>
        </w:r>
        <w:r>
          <w:instrText xml:space="preserve"> PAGEREF _Toc221869889 \h </w:instrText>
        </w:r>
        <w:r/>
        <w:r>
          <w:fldChar w:fldCharType="separate"/>
        </w:r>
        <w:r>
          <w:t xml:space="preserve">28</w:t>
        </w:r>
        <w:r>
          <w:fldChar w:fldCharType="end"/>
        </w:r>
      </w:hyperlink>
      <w:r/>
      <w:r>
        <w:rPr>
          <w:rFonts w:asciiTheme="minorHAnsi" w:hAnsiTheme="minorHAnsi" w:eastAsiaTheme="minorEastAsia" w:cstheme="minorBidi"/>
          <w:bCs w:val="0"/>
          <w14:ligatures w14:val="standardContextual"/>
        </w:rPr>
      </w:r>
    </w:p>
    <w:p>
      <w:pPr>
        <w:pStyle w:val="1334"/>
        <w:rPr>
          <w:rFonts w:asciiTheme="minorHAnsi" w:hAnsiTheme="minorHAnsi" w:eastAsiaTheme="minorEastAsia" w:cstheme="minorBidi"/>
          <w:bCs w:val="0"/>
          <w:iCs w:val="0"/>
          <w14:ligatures w14:val="standardContextual"/>
        </w:rPr>
      </w:pPr>
      <w:r/>
      <w:hyperlink w:tooltip="#_Toc221869890" w:anchor="_Toc221869890" w:history="1">
        <w:r>
          <w:rPr>
            <w:rStyle w:val="1331"/>
          </w:rPr>
          <w:t xml:space="preserve">4.2.1.</w:t>
        </w:r>
        <w:r>
          <w:rPr>
            <w:rFonts w:asciiTheme="minorHAnsi" w:hAnsiTheme="minorHAnsi" w:eastAsiaTheme="minorEastAsia" w:cstheme="minorBidi"/>
            <w:bCs w:val="0"/>
            <w:iCs w:val="0"/>
            <w14:ligatures w14:val="standardContextual"/>
          </w:rPr>
          <w:tab/>
        </w:r>
        <w:r>
          <w:rPr>
            <w:rStyle w:val="1331"/>
          </w:rPr>
          <w:t xml:space="preserve">Просмотр записей в справочнике «Книга регистрации лицевых счетов»</w:t>
        </w:r>
        <w:r>
          <w:tab/>
        </w:r>
        <w:r>
          <w:fldChar w:fldCharType="begin"/>
        </w:r>
        <w:r>
          <w:instrText xml:space="preserve"> PAGEREF _Toc221869890 \h </w:instrText>
        </w:r>
        <w:r/>
        <w:r>
          <w:fldChar w:fldCharType="separate"/>
        </w:r>
        <w:r>
          <w:t xml:space="preserve">28</w:t>
        </w:r>
        <w:r>
          <w:fldChar w:fldCharType="end"/>
        </w:r>
      </w:hyperlink>
      <w:r/>
      <w:r>
        <w:rPr>
          <w:rFonts w:asciiTheme="minorHAnsi" w:hAnsiTheme="minorHAnsi" w:eastAsiaTheme="minorEastAsia" w:cstheme="minorBidi"/>
          <w:bCs w:val="0"/>
          <w:iCs w:val="0"/>
          <w14:ligatures w14:val="standardContextual"/>
        </w:rPr>
      </w:r>
    </w:p>
    <w:p>
      <w:pPr>
        <w:pStyle w:val="1338"/>
        <w:rPr>
          <w:rFonts w:asciiTheme="minorHAnsi" w:hAnsiTheme="minorHAnsi" w:eastAsiaTheme="minorEastAsia" w:cstheme="minorBidi"/>
          <w:szCs w:val="24"/>
          <w14:ligatures w14:val="standardContextual"/>
        </w:rPr>
      </w:pPr>
      <w:r/>
      <w:hyperlink w:tooltip="#_Toc221869891" w:anchor="_Toc221869891" w:history="1">
        <w:r>
          <w:rPr>
            <w:rStyle w:val="1331"/>
          </w:rPr>
          <w:t xml:space="preserve">4.2.1.1.</w:t>
        </w:r>
        <w:r>
          <w:rPr>
            <w:rFonts w:asciiTheme="minorHAnsi" w:hAnsiTheme="minorHAnsi" w:eastAsiaTheme="minorEastAsia" w:cstheme="minorBidi"/>
            <w:szCs w:val="24"/>
            <w14:ligatures w14:val="standardContextual"/>
          </w:rPr>
          <w:tab/>
        </w:r>
        <w:r>
          <w:rPr>
            <w:rStyle w:val="1331"/>
          </w:rPr>
          <w:t xml:space="preserve">Списковая форма справочника «Книга регистрации лицевых счетов»</w:t>
        </w:r>
        <w:r>
          <w:tab/>
        </w:r>
        <w:r>
          <w:fldChar w:fldCharType="begin"/>
        </w:r>
        <w:r>
          <w:instrText xml:space="preserve"> PAGEREF _Toc221869891 \h </w:instrText>
        </w:r>
        <w:r/>
        <w:r>
          <w:fldChar w:fldCharType="separate"/>
        </w:r>
        <w:r>
          <w:t xml:space="preserve">29</w:t>
        </w:r>
        <w:r>
          <w:fldChar w:fldCharType="end"/>
        </w:r>
      </w:hyperlink>
      <w:r/>
      <w:r>
        <w:rPr>
          <w:rFonts w:asciiTheme="minorHAnsi" w:hAnsiTheme="minorHAnsi" w:eastAsiaTheme="minorEastAsia" w:cstheme="minorBidi"/>
          <w:szCs w:val="24"/>
          <w14:ligatures w14:val="standardContextual"/>
        </w:rPr>
      </w:r>
    </w:p>
    <w:p>
      <w:pPr>
        <w:pStyle w:val="1338"/>
        <w:rPr>
          <w:rFonts w:asciiTheme="minorHAnsi" w:hAnsiTheme="minorHAnsi" w:eastAsiaTheme="minorEastAsia" w:cstheme="minorBidi"/>
          <w:szCs w:val="24"/>
          <w14:ligatures w14:val="standardContextual"/>
        </w:rPr>
      </w:pPr>
      <w:r/>
      <w:hyperlink w:tooltip="#_Toc221869892" w:anchor="_Toc221869892" w:history="1">
        <w:r>
          <w:rPr>
            <w:rStyle w:val="1331"/>
          </w:rPr>
          <w:t xml:space="preserve">4.2.1.2.</w:t>
        </w:r>
        <w:r>
          <w:rPr>
            <w:rFonts w:asciiTheme="minorHAnsi" w:hAnsiTheme="minorHAnsi" w:eastAsiaTheme="minorEastAsia" w:cstheme="minorBidi"/>
            <w:szCs w:val="24"/>
            <w14:ligatures w14:val="standardContextual"/>
          </w:rPr>
          <w:tab/>
        </w:r>
        <w:r>
          <w:rPr>
            <w:rStyle w:val="1331"/>
          </w:rPr>
          <w:t xml:space="preserve">Визуальная форма записи справочника «Книга регистрации лицевых счетов»</w:t>
        </w:r>
        <w:r>
          <w:tab/>
        </w:r>
        <w:r>
          <w:fldChar w:fldCharType="begin"/>
        </w:r>
        <w:r>
          <w:instrText xml:space="preserve"> PAGEREF _Toc221869892 \h </w:instrText>
        </w:r>
        <w:r/>
        <w:r>
          <w:fldChar w:fldCharType="separate"/>
        </w:r>
        <w:r>
          <w:t xml:space="preserve">29</w:t>
        </w:r>
        <w:r>
          <w:fldChar w:fldCharType="end"/>
        </w:r>
      </w:hyperlink>
      <w:r/>
      <w:r>
        <w:rPr>
          <w:rFonts w:asciiTheme="minorHAnsi" w:hAnsiTheme="minorHAnsi" w:eastAsiaTheme="minorEastAsia" w:cstheme="minorBidi"/>
          <w:szCs w:val="24"/>
          <w14:ligatures w14:val="standardContextual"/>
        </w:rPr>
      </w:r>
    </w:p>
    <w:p>
      <w:pPr>
        <w:pStyle w:val="1338"/>
        <w:rPr>
          <w:rFonts w:asciiTheme="minorHAnsi" w:hAnsiTheme="minorHAnsi" w:eastAsiaTheme="minorEastAsia" w:cstheme="minorBidi"/>
          <w:szCs w:val="24"/>
          <w14:ligatures w14:val="standardContextual"/>
        </w:rPr>
      </w:pPr>
      <w:r/>
      <w:hyperlink w:tooltip="#_Toc221869893" w:anchor="_Toc221869893" w:history="1">
        <w:r>
          <w:rPr>
            <w:rStyle w:val="1331"/>
          </w:rPr>
          <w:t xml:space="preserve">4.2.1.3.</w:t>
        </w:r>
        <w:r>
          <w:rPr>
            <w:rFonts w:asciiTheme="minorHAnsi" w:hAnsiTheme="minorHAnsi" w:eastAsiaTheme="minorEastAsia" w:cstheme="minorBidi"/>
            <w:szCs w:val="24"/>
            <w14:ligatures w14:val="standardContextual"/>
          </w:rPr>
          <w:tab/>
        </w:r>
        <w:r>
          <w:rPr>
            <w:rStyle w:val="1331"/>
          </w:rPr>
          <w:t xml:space="preserve">Реквизитный состав записи справочника «Книга регистрации лицевых счетов»</w:t>
        </w:r>
        <w:r>
          <w:tab/>
        </w:r>
        <w:r>
          <w:fldChar w:fldCharType="begin"/>
        </w:r>
        <w:r>
          <w:instrText xml:space="preserve"> PAGEREF _Toc221869893 \h </w:instrText>
        </w:r>
        <w:r/>
        <w:r>
          <w:fldChar w:fldCharType="separate"/>
        </w:r>
        <w:r>
          <w:t xml:space="preserve">31</w:t>
        </w:r>
        <w:r>
          <w:fldChar w:fldCharType="end"/>
        </w:r>
      </w:hyperlink>
      <w:r/>
      <w:r>
        <w:rPr>
          <w:rFonts w:asciiTheme="minorHAnsi" w:hAnsiTheme="minorHAnsi" w:eastAsiaTheme="minorEastAsia" w:cstheme="minorBidi"/>
          <w:szCs w:val="24"/>
          <w14:ligatures w14:val="standardContextual"/>
        </w:rPr>
      </w:r>
    </w:p>
    <w:p>
      <w:pPr>
        <w:pStyle w:val="1334"/>
        <w:rPr>
          <w:rFonts w:asciiTheme="minorHAnsi" w:hAnsiTheme="minorHAnsi" w:eastAsiaTheme="minorEastAsia" w:cstheme="minorBidi"/>
          <w:bCs w:val="0"/>
          <w:iCs w:val="0"/>
          <w14:ligatures w14:val="standardContextual"/>
        </w:rPr>
      </w:pPr>
      <w:r/>
      <w:hyperlink w:tooltip="#_Toc221869894" w:anchor="_Toc221869894" w:history="1">
        <w:r>
          <w:rPr>
            <w:rStyle w:val="1331"/>
          </w:rPr>
          <w:t xml:space="preserve">4.2.2.</w:t>
        </w:r>
        <w:r>
          <w:rPr>
            <w:rFonts w:asciiTheme="minorHAnsi" w:hAnsiTheme="minorHAnsi" w:eastAsiaTheme="minorEastAsia" w:cstheme="minorBidi"/>
            <w:bCs w:val="0"/>
            <w:iCs w:val="0"/>
            <w14:ligatures w14:val="standardContextual"/>
          </w:rPr>
          <w:tab/>
        </w:r>
        <w:r>
          <w:rPr>
            <w:rStyle w:val="1331"/>
          </w:rPr>
          <w:t xml:space="preserve">Просмотр записей формуляра «Заявление на изменение справочника «Книги регистрации лицевых счетов»</w:t>
        </w:r>
        <w:r>
          <w:tab/>
        </w:r>
        <w:r>
          <w:fldChar w:fldCharType="begin"/>
        </w:r>
        <w:r>
          <w:instrText xml:space="preserve"> PAGEREF _Toc221869894 \h </w:instrText>
        </w:r>
        <w:r/>
        <w:r>
          <w:fldChar w:fldCharType="separate"/>
        </w:r>
        <w:r>
          <w:t xml:space="preserve">38</w:t>
        </w:r>
        <w:r>
          <w:fldChar w:fldCharType="end"/>
        </w:r>
      </w:hyperlink>
      <w:r/>
      <w:r>
        <w:rPr>
          <w:rFonts w:asciiTheme="minorHAnsi" w:hAnsiTheme="minorHAnsi" w:eastAsiaTheme="minorEastAsia" w:cstheme="minorBidi"/>
          <w:bCs w:val="0"/>
          <w:iCs w:val="0"/>
          <w14:ligatures w14:val="standardContextual"/>
        </w:rPr>
      </w:r>
    </w:p>
    <w:p>
      <w:pPr>
        <w:pStyle w:val="1338"/>
        <w:rPr>
          <w:rFonts w:asciiTheme="minorHAnsi" w:hAnsiTheme="minorHAnsi" w:eastAsiaTheme="minorEastAsia" w:cstheme="minorBidi"/>
          <w:szCs w:val="24"/>
          <w14:ligatures w14:val="standardContextual"/>
        </w:rPr>
      </w:pPr>
      <w:r/>
      <w:hyperlink w:tooltip="#_Toc221869895" w:anchor="_Toc221869895" w:history="1">
        <w:r>
          <w:rPr>
            <w:rStyle w:val="1331"/>
          </w:rPr>
          <w:t xml:space="preserve">4.2.2.1.</w:t>
        </w:r>
        <w:r>
          <w:rPr>
            <w:rFonts w:asciiTheme="minorHAnsi" w:hAnsiTheme="minorHAnsi" w:eastAsiaTheme="minorEastAsia" w:cstheme="minorBidi"/>
            <w:szCs w:val="24"/>
            <w14:ligatures w14:val="standardContextual"/>
          </w:rPr>
          <w:tab/>
        </w:r>
        <w:r>
          <w:rPr>
            <w:rStyle w:val="1331"/>
          </w:rPr>
          <w:t xml:space="preserve">Списковая форма формуляра «Заявление на изменение справочника «Книги регистрации лицевых счетов»</w:t>
        </w:r>
        <w:r>
          <w:tab/>
        </w:r>
        <w:r>
          <w:fldChar w:fldCharType="begin"/>
        </w:r>
        <w:r>
          <w:instrText xml:space="preserve"> PAGEREF _Toc221869895 \h </w:instrText>
        </w:r>
        <w:r/>
        <w:r>
          <w:fldChar w:fldCharType="separate"/>
        </w:r>
        <w:r>
          <w:t xml:space="preserve">39</w:t>
        </w:r>
        <w:r>
          <w:fldChar w:fldCharType="end"/>
        </w:r>
      </w:hyperlink>
      <w:r/>
      <w:r>
        <w:rPr>
          <w:rFonts w:asciiTheme="minorHAnsi" w:hAnsiTheme="minorHAnsi" w:eastAsiaTheme="minorEastAsia" w:cstheme="minorBidi"/>
          <w:szCs w:val="24"/>
          <w14:ligatures w14:val="standardContextual"/>
        </w:rPr>
      </w:r>
    </w:p>
    <w:p>
      <w:pPr>
        <w:pStyle w:val="1338"/>
        <w:rPr>
          <w:rFonts w:asciiTheme="minorHAnsi" w:hAnsiTheme="minorHAnsi" w:eastAsiaTheme="minorEastAsia" w:cstheme="minorBidi"/>
          <w:szCs w:val="24"/>
          <w14:ligatures w14:val="standardContextual"/>
        </w:rPr>
      </w:pPr>
      <w:r/>
      <w:hyperlink w:tooltip="#_Toc221869896" w:anchor="_Toc221869896" w:history="1">
        <w:r>
          <w:rPr>
            <w:rStyle w:val="1331"/>
          </w:rPr>
          <w:t xml:space="preserve">4.2.2.2.</w:t>
        </w:r>
        <w:r>
          <w:rPr>
            <w:rFonts w:asciiTheme="minorHAnsi" w:hAnsiTheme="minorHAnsi" w:eastAsiaTheme="minorEastAsia" w:cstheme="minorBidi"/>
            <w:szCs w:val="24"/>
            <w14:ligatures w14:val="standardContextual"/>
          </w:rPr>
          <w:tab/>
        </w:r>
        <w:r>
          <w:rPr>
            <w:rStyle w:val="1331"/>
          </w:rPr>
          <w:t xml:space="preserve">Визуальная форма записи формуляра «Заявление на изменение справочника «Книги регистрации лицевых счетов»</w:t>
        </w:r>
        <w:r>
          <w:tab/>
        </w:r>
        <w:r>
          <w:fldChar w:fldCharType="begin"/>
        </w:r>
        <w:r>
          <w:instrText xml:space="preserve"> PAGEREF _Toc221869896 \h </w:instrText>
        </w:r>
        <w:r/>
        <w:r>
          <w:fldChar w:fldCharType="separate"/>
        </w:r>
        <w:r>
          <w:t xml:space="preserve">39</w:t>
        </w:r>
        <w:r>
          <w:fldChar w:fldCharType="end"/>
        </w:r>
      </w:hyperlink>
      <w:r/>
      <w:r>
        <w:rPr>
          <w:rFonts w:asciiTheme="minorHAnsi" w:hAnsiTheme="minorHAnsi" w:eastAsiaTheme="minorEastAsia" w:cstheme="minorBidi"/>
          <w:szCs w:val="24"/>
          <w14:ligatures w14:val="standardContextual"/>
        </w:rPr>
      </w:r>
    </w:p>
    <w:p>
      <w:pPr>
        <w:pStyle w:val="1338"/>
        <w:rPr>
          <w:rFonts w:asciiTheme="minorHAnsi" w:hAnsiTheme="minorHAnsi" w:eastAsiaTheme="minorEastAsia" w:cstheme="minorBidi"/>
          <w:szCs w:val="24"/>
          <w14:ligatures w14:val="standardContextual"/>
        </w:rPr>
      </w:pPr>
      <w:r/>
      <w:hyperlink w:tooltip="#_Toc221869897" w:anchor="_Toc221869897" w:history="1">
        <w:r>
          <w:rPr>
            <w:rStyle w:val="1331"/>
          </w:rPr>
          <w:t xml:space="preserve">4.2.2.3.</w:t>
        </w:r>
        <w:r>
          <w:rPr>
            <w:rFonts w:asciiTheme="minorHAnsi" w:hAnsiTheme="minorHAnsi" w:eastAsiaTheme="minorEastAsia" w:cstheme="minorBidi"/>
            <w:szCs w:val="24"/>
            <w14:ligatures w14:val="standardContextual"/>
          </w:rPr>
          <w:tab/>
        </w:r>
        <w:r>
          <w:rPr>
            <w:rStyle w:val="1331"/>
          </w:rPr>
          <w:t xml:space="preserve">Реквизитный состав записи формуляра «Заявление на изменение справочника «Книги регистрации лицевых счетов»</w:t>
        </w:r>
        <w:r>
          <w:tab/>
        </w:r>
        <w:r>
          <w:fldChar w:fldCharType="begin"/>
        </w:r>
        <w:r>
          <w:instrText xml:space="preserve"> PAGEREF _Toc221869897 \h </w:instrText>
        </w:r>
        <w:r/>
        <w:r>
          <w:fldChar w:fldCharType="separate"/>
        </w:r>
        <w:r>
          <w:t xml:space="preserve">42</w:t>
        </w:r>
        <w:r>
          <w:fldChar w:fldCharType="end"/>
        </w:r>
      </w:hyperlink>
      <w:r/>
      <w:r>
        <w:rPr>
          <w:rFonts w:asciiTheme="minorHAnsi" w:hAnsiTheme="minorHAnsi" w:eastAsiaTheme="minorEastAsia" w:cstheme="minorBidi"/>
          <w:szCs w:val="24"/>
          <w14:ligatures w14:val="standardContextual"/>
        </w:rPr>
      </w:r>
    </w:p>
    <w:p>
      <w:pPr>
        <w:pStyle w:val="1334"/>
        <w:rPr>
          <w:rFonts w:asciiTheme="minorHAnsi" w:hAnsiTheme="minorHAnsi" w:eastAsiaTheme="minorEastAsia" w:cstheme="minorBidi"/>
          <w:bCs w:val="0"/>
          <w:iCs w:val="0"/>
          <w14:ligatures w14:val="standardContextual"/>
        </w:rPr>
      </w:pPr>
      <w:r/>
      <w:hyperlink w:tooltip="#_Toc221869898" w:anchor="_Toc221869898" w:history="1">
        <w:r>
          <w:rPr>
            <w:rStyle w:val="1331"/>
          </w:rPr>
          <w:t xml:space="preserve">4.2.3.</w:t>
        </w:r>
        <w:r>
          <w:rPr>
            <w:rFonts w:asciiTheme="minorHAnsi" w:hAnsiTheme="minorHAnsi" w:eastAsiaTheme="minorEastAsia" w:cstheme="minorBidi"/>
            <w:bCs w:val="0"/>
            <w:iCs w:val="0"/>
            <w14:ligatures w14:val="standardContextual"/>
          </w:rPr>
          <w:tab/>
        </w:r>
        <w:r>
          <w:rPr>
            <w:rStyle w:val="1331"/>
          </w:rPr>
          <w:t xml:space="preserve">Создание заявления на резервирование лицевого счета</w:t>
        </w:r>
        <w:r>
          <w:tab/>
        </w:r>
        <w:r>
          <w:fldChar w:fldCharType="begin"/>
        </w:r>
        <w:r>
          <w:instrText xml:space="preserve"> PAGEREF _Toc221869898 \h </w:instrText>
        </w:r>
        <w:r/>
        <w:r>
          <w:fldChar w:fldCharType="separate"/>
        </w:r>
        <w:r>
          <w:t xml:space="preserve">72</w:t>
        </w:r>
        <w:r>
          <w:fldChar w:fldCharType="end"/>
        </w:r>
      </w:hyperlink>
      <w:r/>
      <w:r>
        <w:rPr>
          <w:rFonts w:asciiTheme="minorHAnsi" w:hAnsiTheme="minorHAnsi" w:eastAsiaTheme="minorEastAsia" w:cstheme="minorBidi"/>
          <w:bCs w:val="0"/>
          <w:iCs w:val="0"/>
          <w14:ligatures w14:val="standardContextual"/>
        </w:rPr>
      </w:r>
    </w:p>
    <w:p>
      <w:pPr>
        <w:pStyle w:val="1338"/>
        <w:rPr>
          <w:rFonts w:asciiTheme="minorHAnsi" w:hAnsiTheme="minorHAnsi" w:eastAsiaTheme="minorEastAsia" w:cstheme="minorBidi"/>
          <w:szCs w:val="24"/>
          <w14:ligatures w14:val="standardContextual"/>
        </w:rPr>
      </w:pPr>
      <w:r/>
      <w:hyperlink w:tooltip="#_Toc221869899" w:anchor="_Toc221869899" w:history="1">
        <w:r>
          <w:rPr>
            <w:rStyle w:val="1331"/>
          </w:rPr>
          <w:t xml:space="preserve">4.2.3.1.</w:t>
        </w:r>
        <w:r>
          <w:rPr>
            <w:rFonts w:asciiTheme="minorHAnsi" w:hAnsiTheme="minorHAnsi" w:eastAsiaTheme="minorEastAsia" w:cstheme="minorBidi"/>
            <w:szCs w:val="24"/>
            <w14:ligatures w14:val="standardContextual"/>
          </w:rPr>
          <w:tab/>
        </w:r>
        <w:r>
          <w:rPr>
            <w:rStyle w:val="1331"/>
          </w:rPr>
          <w:t xml:space="preserve">Общая информация</w:t>
        </w:r>
        <w:r>
          <w:tab/>
        </w:r>
        <w:r>
          <w:fldChar w:fldCharType="begin"/>
        </w:r>
        <w:r>
          <w:instrText xml:space="preserve"> PAGEREF _Toc221869899 \h </w:instrText>
        </w:r>
        <w:r/>
        <w:r>
          <w:fldChar w:fldCharType="separate"/>
        </w:r>
        <w:r>
          <w:t xml:space="preserve">72</w:t>
        </w:r>
        <w:r>
          <w:fldChar w:fldCharType="end"/>
        </w:r>
      </w:hyperlink>
      <w:r/>
      <w:r>
        <w:rPr>
          <w:rFonts w:asciiTheme="minorHAnsi" w:hAnsiTheme="minorHAnsi" w:eastAsiaTheme="minorEastAsia" w:cstheme="minorBidi"/>
          <w:szCs w:val="24"/>
          <w14:ligatures w14:val="standardContextual"/>
        </w:rPr>
      </w:r>
    </w:p>
    <w:p>
      <w:pPr>
        <w:pStyle w:val="1338"/>
        <w:rPr>
          <w:rFonts w:asciiTheme="minorHAnsi" w:hAnsiTheme="minorHAnsi" w:eastAsiaTheme="minorEastAsia" w:cstheme="minorBidi"/>
          <w:szCs w:val="24"/>
          <w14:ligatures w14:val="standardContextual"/>
        </w:rPr>
      </w:pPr>
      <w:r/>
      <w:hyperlink w:tooltip="#_Toc221869900" w:anchor="_Toc221869900" w:history="1">
        <w:r>
          <w:rPr>
            <w:rStyle w:val="1331"/>
          </w:rPr>
          <w:t xml:space="preserve">4.2.3.2.</w:t>
        </w:r>
        <w:r>
          <w:rPr>
            <w:rFonts w:asciiTheme="minorHAnsi" w:hAnsiTheme="minorHAnsi" w:eastAsiaTheme="minorEastAsia" w:cstheme="minorBidi"/>
            <w:szCs w:val="24"/>
            <w14:ligatures w14:val="standardContextual"/>
          </w:rPr>
          <w:tab/>
        </w:r>
        <w:r>
          <w:rPr>
            <w:rStyle w:val="1331"/>
          </w:rPr>
          <w:t xml:space="preserve">Формирование заявления на резервирование лицевого счета в ЛК НСИ</w:t>
        </w:r>
        <w:r>
          <w:tab/>
        </w:r>
        <w:r>
          <w:fldChar w:fldCharType="begin"/>
        </w:r>
        <w:r>
          <w:instrText xml:space="preserve"> PAGEREF _Toc221869900 \h </w:instrText>
        </w:r>
        <w:r/>
        <w:r>
          <w:fldChar w:fldCharType="separate"/>
        </w:r>
        <w:r>
          <w:t xml:space="preserve">72</w:t>
        </w:r>
        <w:r>
          <w:fldChar w:fldCharType="end"/>
        </w:r>
      </w:hyperlink>
      <w:r/>
      <w:r>
        <w:rPr>
          <w:rFonts w:asciiTheme="minorHAnsi" w:hAnsiTheme="minorHAnsi" w:eastAsiaTheme="minorEastAsia" w:cstheme="minorBidi"/>
          <w:szCs w:val="24"/>
          <w14:ligatures w14:val="standardContextual"/>
        </w:rPr>
      </w:r>
    </w:p>
    <w:p>
      <w:pPr>
        <w:pStyle w:val="1338"/>
        <w:rPr>
          <w:rFonts w:asciiTheme="minorHAnsi" w:hAnsiTheme="minorHAnsi" w:eastAsiaTheme="minorEastAsia" w:cstheme="minorBidi"/>
          <w:szCs w:val="24"/>
          <w14:ligatures w14:val="standardContextual"/>
        </w:rPr>
      </w:pPr>
      <w:r/>
      <w:hyperlink w:tooltip="#_Toc221869901" w:anchor="_Toc221869901" w:history="1">
        <w:r>
          <w:rPr>
            <w:rStyle w:val="1331"/>
          </w:rPr>
          <w:t xml:space="preserve">4.2.3.3.</w:t>
        </w:r>
        <w:r>
          <w:rPr>
            <w:rFonts w:asciiTheme="minorHAnsi" w:hAnsiTheme="minorHAnsi" w:eastAsiaTheme="minorEastAsia" w:cstheme="minorBidi"/>
            <w:szCs w:val="24"/>
            <w14:ligatures w14:val="standardContextual"/>
          </w:rPr>
          <w:tab/>
        </w:r>
        <w:r>
          <w:rPr>
            <w:rStyle w:val="1331"/>
          </w:rPr>
          <w:t xml:space="preserve">Формирование заявления на резервирование лицевого счета в ЛК НСИ (саморегистрирующийся)</w:t>
        </w:r>
        <w:r>
          <w:tab/>
        </w:r>
        <w:r>
          <w:fldChar w:fldCharType="begin"/>
        </w:r>
        <w:r>
          <w:instrText xml:space="preserve"> PAGEREF _Toc221869901 \h </w:instrText>
        </w:r>
        <w:r/>
        <w:r>
          <w:fldChar w:fldCharType="separate"/>
        </w:r>
        <w:r>
          <w:t xml:space="preserve">74</w:t>
        </w:r>
        <w:r>
          <w:fldChar w:fldCharType="end"/>
        </w:r>
      </w:hyperlink>
      <w:r/>
      <w:r>
        <w:rPr>
          <w:rFonts w:asciiTheme="minorHAnsi" w:hAnsiTheme="minorHAnsi" w:eastAsiaTheme="minorEastAsia" w:cstheme="minorBidi"/>
          <w:szCs w:val="24"/>
          <w14:ligatures w14:val="standardContextual"/>
        </w:rPr>
      </w:r>
    </w:p>
    <w:p>
      <w:pPr>
        <w:pStyle w:val="1334"/>
        <w:rPr>
          <w:rFonts w:asciiTheme="minorHAnsi" w:hAnsiTheme="minorHAnsi" w:eastAsiaTheme="minorEastAsia" w:cstheme="minorBidi"/>
          <w:bCs w:val="0"/>
          <w:iCs w:val="0"/>
          <w14:ligatures w14:val="standardContextual"/>
        </w:rPr>
      </w:pPr>
      <w:r/>
      <w:hyperlink w:tooltip="#_Toc221869902" w:anchor="_Toc221869902" w:history="1">
        <w:r>
          <w:rPr>
            <w:rStyle w:val="1331"/>
          </w:rPr>
          <w:t xml:space="preserve">4.2.4.</w:t>
        </w:r>
        <w:r>
          <w:rPr>
            <w:rFonts w:asciiTheme="minorHAnsi" w:hAnsiTheme="minorHAnsi" w:eastAsiaTheme="minorEastAsia" w:cstheme="minorBidi"/>
            <w:bCs w:val="0"/>
            <w:iCs w:val="0"/>
            <w14:ligatures w14:val="standardContextual"/>
          </w:rPr>
          <w:tab/>
        </w:r>
        <w:r>
          <w:rPr>
            <w:rStyle w:val="1331"/>
          </w:rPr>
          <w:t xml:space="preserve">Создание заявления на открытие лицевого счета</w:t>
        </w:r>
        <w:r>
          <w:tab/>
        </w:r>
        <w:r>
          <w:fldChar w:fldCharType="begin"/>
        </w:r>
        <w:r>
          <w:instrText xml:space="preserve"> PAGEREF _Toc221869902 \h </w:instrText>
        </w:r>
        <w:r/>
        <w:r>
          <w:fldChar w:fldCharType="separate"/>
        </w:r>
        <w:r>
          <w:t xml:space="preserve">75</w:t>
        </w:r>
        <w:r>
          <w:fldChar w:fldCharType="end"/>
        </w:r>
      </w:hyperlink>
      <w:r/>
      <w:r>
        <w:rPr>
          <w:rFonts w:asciiTheme="minorHAnsi" w:hAnsiTheme="minorHAnsi" w:eastAsiaTheme="minorEastAsia" w:cstheme="minorBidi"/>
          <w:bCs w:val="0"/>
          <w:iCs w:val="0"/>
          <w14:ligatures w14:val="standardContextual"/>
        </w:rPr>
      </w:r>
    </w:p>
    <w:p>
      <w:pPr>
        <w:pStyle w:val="1338"/>
        <w:rPr>
          <w:rFonts w:asciiTheme="minorHAnsi" w:hAnsiTheme="minorHAnsi" w:eastAsiaTheme="minorEastAsia" w:cstheme="minorBidi"/>
          <w:szCs w:val="24"/>
          <w14:ligatures w14:val="standardContextual"/>
        </w:rPr>
      </w:pPr>
      <w:r/>
      <w:hyperlink w:tooltip="#_Toc221869903" w:anchor="_Toc221869903" w:history="1">
        <w:r>
          <w:rPr>
            <w:rStyle w:val="1331"/>
          </w:rPr>
          <w:t xml:space="preserve">4.2.4.1.</w:t>
        </w:r>
        <w:r>
          <w:rPr>
            <w:rFonts w:asciiTheme="minorHAnsi" w:hAnsiTheme="minorHAnsi" w:eastAsiaTheme="minorEastAsia" w:cstheme="minorBidi"/>
            <w:szCs w:val="24"/>
            <w14:ligatures w14:val="standardContextual"/>
          </w:rPr>
          <w:tab/>
        </w:r>
        <w:r>
          <w:rPr>
            <w:rStyle w:val="1331"/>
          </w:rPr>
          <w:t xml:space="preserve">Общая информация</w:t>
        </w:r>
        <w:r>
          <w:tab/>
        </w:r>
        <w:r>
          <w:fldChar w:fldCharType="begin"/>
        </w:r>
        <w:r>
          <w:instrText xml:space="preserve"> PAGEREF _Toc221869903 \h </w:instrText>
        </w:r>
        <w:r/>
        <w:r>
          <w:fldChar w:fldCharType="separate"/>
        </w:r>
        <w:r>
          <w:t xml:space="preserve">75</w:t>
        </w:r>
        <w:r>
          <w:fldChar w:fldCharType="end"/>
        </w:r>
      </w:hyperlink>
      <w:r/>
      <w:r>
        <w:rPr>
          <w:rFonts w:asciiTheme="minorHAnsi" w:hAnsiTheme="minorHAnsi" w:eastAsiaTheme="minorEastAsia" w:cstheme="minorBidi"/>
          <w:szCs w:val="24"/>
          <w14:ligatures w14:val="standardContextual"/>
        </w:rPr>
      </w:r>
    </w:p>
    <w:p>
      <w:pPr>
        <w:pStyle w:val="1338"/>
        <w:rPr>
          <w:rFonts w:asciiTheme="minorHAnsi" w:hAnsiTheme="minorHAnsi" w:eastAsiaTheme="minorEastAsia" w:cstheme="minorBidi"/>
          <w:szCs w:val="24"/>
          <w14:ligatures w14:val="standardContextual"/>
        </w:rPr>
      </w:pPr>
      <w:r/>
      <w:hyperlink w:tooltip="#_Toc221869904" w:anchor="_Toc221869904" w:history="1">
        <w:r>
          <w:rPr>
            <w:rStyle w:val="1331"/>
          </w:rPr>
          <w:t xml:space="preserve">4.2.4.2.</w:t>
        </w:r>
        <w:r>
          <w:rPr>
            <w:rFonts w:asciiTheme="minorHAnsi" w:hAnsiTheme="minorHAnsi" w:eastAsiaTheme="minorEastAsia" w:cstheme="minorBidi"/>
            <w:szCs w:val="24"/>
            <w14:ligatures w14:val="standardContextual"/>
          </w:rPr>
          <w:tab/>
        </w:r>
        <w:r>
          <w:rPr>
            <w:rStyle w:val="1331"/>
          </w:rPr>
          <w:t xml:space="preserve">Формирование заявления на открытие лицевого счета с типом ЛС отличного от «71» в ЛК НСИ</w:t>
        </w:r>
        <w:r>
          <w:tab/>
        </w:r>
        <w:r>
          <w:fldChar w:fldCharType="begin"/>
        </w:r>
        <w:r>
          <w:instrText xml:space="preserve"> PAGEREF _Toc221869904 \h </w:instrText>
        </w:r>
        <w:r/>
        <w:r>
          <w:fldChar w:fldCharType="separate"/>
        </w:r>
        <w:r>
          <w:t xml:space="preserve">76</w:t>
        </w:r>
        <w:r>
          <w:fldChar w:fldCharType="end"/>
        </w:r>
      </w:hyperlink>
      <w:r/>
      <w:r>
        <w:rPr>
          <w:rFonts w:asciiTheme="minorHAnsi" w:hAnsiTheme="minorHAnsi" w:eastAsiaTheme="minorEastAsia" w:cstheme="minorBidi"/>
          <w:szCs w:val="24"/>
          <w14:ligatures w14:val="standardContextual"/>
        </w:rPr>
      </w:r>
    </w:p>
    <w:p>
      <w:pPr>
        <w:pStyle w:val="1338"/>
        <w:rPr>
          <w:rFonts w:asciiTheme="minorHAnsi" w:hAnsiTheme="minorHAnsi" w:eastAsiaTheme="minorEastAsia" w:cstheme="minorBidi"/>
          <w:szCs w:val="24"/>
          <w14:ligatures w14:val="standardContextual"/>
        </w:rPr>
      </w:pPr>
      <w:r/>
      <w:hyperlink w:tooltip="#_Toc221869905" w:anchor="_Toc221869905" w:history="1">
        <w:r>
          <w:rPr>
            <w:rStyle w:val="1331"/>
          </w:rPr>
          <w:t xml:space="preserve">4.2.4.3.</w:t>
        </w:r>
        <w:r>
          <w:rPr>
            <w:rFonts w:asciiTheme="minorHAnsi" w:hAnsiTheme="minorHAnsi" w:eastAsiaTheme="minorEastAsia" w:cstheme="minorBidi"/>
            <w:szCs w:val="24"/>
            <w14:ligatures w14:val="standardContextual"/>
          </w:rPr>
          <w:tab/>
        </w:r>
        <w:r>
          <w:rPr>
            <w:rStyle w:val="1331"/>
          </w:rPr>
          <w:t xml:space="preserve">Формирование заявления на открытие лицевого счета с типом ЛС «71» для ранее зарезервированного лицевого счета в ЛК НСИ</w:t>
        </w:r>
        <w:r>
          <w:tab/>
        </w:r>
        <w:r>
          <w:fldChar w:fldCharType="begin"/>
        </w:r>
        <w:r>
          <w:instrText xml:space="preserve"> PAGEREF _Toc221869905 \h </w:instrText>
        </w:r>
        <w:r/>
        <w:r>
          <w:fldChar w:fldCharType="separate"/>
        </w:r>
        <w:r>
          <w:t xml:space="preserve">78</w:t>
        </w:r>
        <w:r>
          <w:fldChar w:fldCharType="end"/>
        </w:r>
      </w:hyperlink>
      <w:r/>
      <w:r>
        <w:rPr>
          <w:rFonts w:asciiTheme="minorHAnsi" w:hAnsiTheme="minorHAnsi" w:eastAsiaTheme="minorEastAsia" w:cstheme="minorBidi"/>
          <w:szCs w:val="24"/>
          <w14:ligatures w14:val="standardContextual"/>
        </w:rPr>
      </w:r>
    </w:p>
    <w:p>
      <w:pPr>
        <w:pStyle w:val="1338"/>
        <w:rPr>
          <w:rFonts w:asciiTheme="minorHAnsi" w:hAnsiTheme="minorHAnsi" w:eastAsiaTheme="minorEastAsia" w:cstheme="minorBidi"/>
          <w:szCs w:val="24"/>
          <w14:ligatures w14:val="standardContextual"/>
        </w:rPr>
      </w:pPr>
      <w:r/>
      <w:hyperlink w:tooltip="#_Toc221869906" w:anchor="_Toc221869906" w:history="1">
        <w:r>
          <w:rPr>
            <w:rStyle w:val="1331"/>
          </w:rPr>
          <w:t xml:space="preserve">4.2.4.4.</w:t>
        </w:r>
        <w:r>
          <w:rPr>
            <w:rFonts w:asciiTheme="minorHAnsi" w:hAnsiTheme="minorHAnsi" w:eastAsiaTheme="minorEastAsia" w:cstheme="minorBidi"/>
            <w:szCs w:val="24"/>
            <w14:ligatures w14:val="standardContextual"/>
          </w:rPr>
          <w:tab/>
        </w:r>
        <w:r>
          <w:rPr>
            <w:rStyle w:val="1331"/>
          </w:rPr>
          <w:t xml:space="preserve">Формирование заявления на открытие лицевого счета с типом ЛС «71» в ЛК НСИ</w:t>
        </w:r>
        <w:r>
          <w:tab/>
        </w:r>
        <w:r>
          <w:fldChar w:fldCharType="begin"/>
        </w:r>
        <w:r>
          <w:instrText xml:space="preserve"> PAGEREF _Toc221869906 \h </w:instrText>
        </w:r>
        <w:r/>
        <w:r>
          <w:fldChar w:fldCharType="separate"/>
        </w:r>
        <w:r>
          <w:t xml:space="preserve">79</w:t>
        </w:r>
        <w:r>
          <w:fldChar w:fldCharType="end"/>
        </w:r>
      </w:hyperlink>
      <w:r/>
      <w:r>
        <w:rPr>
          <w:rFonts w:asciiTheme="minorHAnsi" w:hAnsiTheme="minorHAnsi" w:eastAsiaTheme="minorEastAsia" w:cstheme="minorBidi"/>
          <w:szCs w:val="24"/>
          <w14:ligatures w14:val="standardContextual"/>
        </w:rPr>
      </w:r>
    </w:p>
    <w:p>
      <w:pPr>
        <w:pStyle w:val="1334"/>
        <w:rPr>
          <w:rFonts w:asciiTheme="minorHAnsi" w:hAnsiTheme="minorHAnsi" w:eastAsiaTheme="minorEastAsia" w:cstheme="minorBidi"/>
          <w:bCs w:val="0"/>
          <w:iCs w:val="0"/>
          <w14:ligatures w14:val="standardContextual"/>
        </w:rPr>
      </w:pPr>
      <w:r/>
      <w:hyperlink w:tooltip="#_Toc221869907" w:anchor="_Toc221869907" w:history="1">
        <w:r>
          <w:rPr>
            <w:rStyle w:val="1331"/>
          </w:rPr>
          <w:t xml:space="preserve">4.2.5.</w:t>
        </w:r>
        <w:r>
          <w:rPr>
            <w:rFonts w:asciiTheme="minorHAnsi" w:hAnsiTheme="minorHAnsi" w:eastAsiaTheme="minorEastAsia" w:cstheme="minorBidi"/>
            <w:bCs w:val="0"/>
            <w:iCs w:val="0"/>
            <w14:ligatures w14:val="standardContextual"/>
          </w:rPr>
          <w:tab/>
        </w:r>
        <w:r>
          <w:rPr>
            <w:rStyle w:val="1331"/>
          </w:rPr>
          <w:t xml:space="preserve">Создание заявления на закрытие лицевого счета</w:t>
        </w:r>
        <w:r>
          <w:tab/>
        </w:r>
        <w:r>
          <w:fldChar w:fldCharType="begin"/>
        </w:r>
        <w:r>
          <w:instrText xml:space="preserve"> PAGEREF _Toc221869907 \h </w:instrText>
        </w:r>
        <w:r/>
        <w:r>
          <w:fldChar w:fldCharType="separate"/>
        </w:r>
        <w:r>
          <w:t xml:space="preserve">79</w:t>
        </w:r>
        <w:r>
          <w:fldChar w:fldCharType="end"/>
        </w:r>
      </w:hyperlink>
      <w:r/>
      <w:r>
        <w:rPr>
          <w:rFonts w:asciiTheme="minorHAnsi" w:hAnsiTheme="minorHAnsi" w:eastAsiaTheme="minorEastAsia" w:cstheme="minorBidi"/>
          <w:bCs w:val="0"/>
          <w:iCs w:val="0"/>
          <w14:ligatures w14:val="standardContextual"/>
        </w:rPr>
      </w:r>
    </w:p>
    <w:p>
      <w:pPr>
        <w:pStyle w:val="1338"/>
        <w:rPr>
          <w:rFonts w:asciiTheme="minorHAnsi" w:hAnsiTheme="minorHAnsi" w:eastAsiaTheme="minorEastAsia" w:cstheme="minorBidi"/>
          <w:szCs w:val="24"/>
          <w14:ligatures w14:val="standardContextual"/>
        </w:rPr>
      </w:pPr>
      <w:r/>
      <w:hyperlink w:tooltip="#_Toc221869908" w:anchor="_Toc221869908" w:history="1">
        <w:r>
          <w:rPr>
            <w:rStyle w:val="1331"/>
          </w:rPr>
          <w:t xml:space="preserve">4.2.5.1.</w:t>
        </w:r>
        <w:r>
          <w:rPr>
            <w:rFonts w:asciiTheme="minorHAnsi" w:hAnsiTheme="minorHAnsi" w:eastAsiaTheme="minorEastAsia" w:cstheme="minorBidi"/>
            <w:szCs w:val="24"/>
            <w14:ligatures w14:val="standardContextual"/>
          </w:rPr>
          <w:tab/>
        </w:r>
        <w:r>
          <w:rPr>
            <w:rStyle w:val="1331"/>
          </w:rPr>
          <w:t xml:space="preserve">Общая информация</w:t>
        </w:r>
        <w:r>
          <w:tab/>
        </w:r>
        <w:r>
          <w:fldChar w:fldCharType="begin"/>
        </w:r>
        <w:r>
          <w:instrText xml:space="preserve"> PAGEREF _Toc221869908 \h </w:instrText>
        </w:r>
        <w:r/>
        <w:r>
          <w:fldChar w:fldCharType="separate"/>
        </w:r>
        <w:r>
          <w:t xml:space="preserve">79</w:t>
        </w:r>
        <w:r>
          <w:fldChar w:fldCharType="end"/>
        </w:r>
      </w:hyperlink>
      <w:r/>
      <w:r>
        <w:rPr>
          <w:rFonts w:asciiTheme="minorHAnsi" w:hAnsiTheme="minorHAnsi" w:eastAsiaTheme="minorEastAsia" w:cstheme="minorBidi"/>
          <w:szCs w:val="24"/>
          <w14:ligatures w14:val="standardContextual"/>
        </w:rPr>
      </w:r>
    </w:p>
    <w:p>
      <w:pPr>
        <w:pStyle w:val="1338"/>
        <w:rPr>
          <w:rFonts w:asciiTheme="minorHAnsi" w:hAnsiTheme="minorHAnsi" w:eastAsiaTheme="minorEastAsia" w:cstheme="minorBidi"/>
          <w:szCs w:val="24"/>
          <w14:ligatures w14:val="standardContextual"/>
        </w:rPr>
      </w:pPr>
      <w:r/>
      <w:hyperlink w:tooltip="#_Toc221869909" w:anchor="_Toc221869909" w:history="1">
        <w:r>
          <w:rPr>
            <w:rStyle w:val="1331"/>
          </w:rPr>
          <w:t xml:space="preserve">4.2.5.2.</w:t>
        </w:r>
        <w:r>
          <w:rPr>
            <w:rFonts w:asciiTheme="minorHAnsi" w:hAnsiTheme="minorHAnsi" w:eastAsiaTheme="minorEastAsia" w:cstheme="minorBidi"/>
            <w:szCs w:val="24"/>
            <w14:ligatures w14:val="standardContextual"/>
          </w:rPr>
          <w:tab/>
        </w:r>
        <w:r>
          <w:rPr>
            <w:rStyle w:val="1331"/>
          </w:rPr>
          <w:t xml:space="preserve">Формирование заявления на закрытие лицевого счета в ЛК НСИ»</w:t>
        </w:r>
        <w:r>
          <w:tab/>
        </w:r>
        <w:r>
          <w:fldChar w:fldCharType="begin"/>
        </w:r>
        <w:r>
          <w:instrText xml:space="preserve"> PAGEREF _Toc221869909 \h </w:instrText>
        </w:r>
        <w:r/>
        <w:r>
          <w:fldChar w:fldCharType="separate"/>
        </w:r>
        <w:r>
          <w:t xml:space="preserve">80</w:t>
        </w:r>
        <w:r>
          <w:fldChar w:fldCharType="end"/>
        </w:r>
      </w:hyperlink>
      <w:r/>
      <w:r>
        <w:rPr>
          <w:rFonts w:asciiTheme="minorHAnsi" w:hAnsiTheme="minorHAnsi" w:eastAsiaTheme="minorEastAsia" w:cstheme="minorBidi"/>
          <w:szCs w:val="24"/>
          <w14:ligatures w14:val="standardContextual"/>
        </w:rPr>
      </w:r>
    </w:p>
    <w:p>
      <w:pPr>
        <w:pStyle w:val="1338"/>
        <w:rPr>
          <w:rFonts w:asciiTheme="minorHAnsi" w:hAnsiTheme="minorHAnsi" w:eastAsiaTheme="minorEastAsia" w:cstheme="minorBidi"/>
          <w:szCs w:val="24"/>
          <w14:ligatures w14:val="standardContextual"/>
        </w:rPr>
      </w:pPr>
      <w:r/>
      <w:hyperlink w:tooltip="#_Toc221869910" w:anchor="_Toc221869910" w:history="1">
        <w:r>
          <w:rPr>
            <w:rStyle w:val="1331"/>
          </w:rPr>
          <w:t xml:space="preserve">4.2.5.3.</w:t>
        </w:r>
        <w:r>
          <w:rPr>
            <w:rFonts w:asciiTheme="minorHAnsi" w:hAnsiTheme="minorHAnsi" w:eastAsiaTheme="minorEastAsia" w:cstheme="minorBidi"/>
            <w:szCs w:val="24"/>
            <w14:ligatures w14:val="standardContextual"/>
          </w:rPr>
          <w:tab/>
        </w:r>
        <w:r>
          <w:rPr>
            <w:rStyle w:val="1331"/>
          </w:rPr>
          <w:t xml:space="preserve">Причины закрытия лицевых счетов по НПА</w:t>
        </w:r>
        <w:r>
          <w:tab/>
        </w:r>
        <w:r>
          <w:fldChar w:fldCharType="begin"/>
        </w:r>
        <w:r>
          <w:instrText xml:space="preserve"> PAGEREF _Toc221869910 \h </w:instrText>
        </w:r>
        <w:r/>
        <w:r>
          <w:fldChar w:fldCharType="separate"/>
        </w:r>
        <w:r>
          <w:t xml:space="preserve">81</w:t>
        </w:r>
        <w:r>
          <w:fldChar w:fldCharType="end"/>
        </w:r>
      </w:hyperlink>
      <w:r/>
      <w:r>
        <w:rPr>
          <w:rFonts w:asciiTheme="minorHAnsi" w:hAnsiTheme="minorHAnsi" w:eastAsiaTheme="minorEastAsia" w:cstheme="minorBidi"/>
          <w:szCs w:val="24"/>
          <w14:ligatures w14:val="standardContextual"/>
        </w:rPr>
      </w:r>
    </w:p>
    <w:p>
      <w:pPr>
        <w:pStyle w:val="1334"/>
        <w:rPr>
          <w:rFonts w:asciiTheme="minorHAnsi" w:hAnsiTheme="minorHAnsi" w:eastAsiaTheme="minorEastAsia" w:cstheme="minorBidi"/>
          <w:bCs w:val="0"/>
          <w:iCs w:val="0"/>
          <w14:ligatures w14:val="standardContextual"/>
        </w:rPr>
      </w:pPr>
      <w:r/>
      <w:hyperlink w:tooltip="#_Toc221869911" w:anchor="_Toc221869911" w:history="1">
        <w:r>
          <w:rPr>
            <w:rStyle w:val="1331"/>
          </w:rPr>
          <w:t xml:space="preserve">4.2.6.</w:t>
        </w:r>
        <w:r>
          <w:rPr>
            <w:rFonts w:asciiTheme="minorHAnsi" w:hAnsiTheme="minorHAnsi" w:eastAsiaTheme="minorEastAsia" w:cstheme="minorBidi"/>
            <w:bCs w:val="0"/>
            <w:iCs w:val="0"/>
            <w14:ligatures w14:val="standardContextual"/>
          </w:rPr>
          <w:tab/>
        </w:r>
        <w:r>
          <w:rPr>
            <w:rStyle w:val="1331"/>
          </w:rPr>
          <w:t xml:space="preserve">Согласование и утверждение заявления</w:t>
        </w:r>
        <w:r>
          <w:tab/>
        </w:r>
        <w:r>
          <w:fldChar w:fldCharType="begin"/>
        </w:r>
        <w:r>
          <w:instrText xml:space="preserve"> PAGEREF _Toc221869911 \h </w:instrText>
        </w:r>
        <w:r/>
        <w:r>
          <w:fldChar w:fldCharType="separate"/>
        </w:r>
        <w:r>
          <w:t xml:space="preserve">81</w:t>
        </w:r>
        <w:r>
          <w:fldChar w:fldCharType="end"/>
        </w:r>
      </w:hyperlink>
      <w:r/>
      <w:r>
        <w:rPr>
          <w:rFonts w:asciiTheme="minorHAnsi" w:hAnsiTheme="minorHAnsi" w:eastAsiaTheme="minorEastAsia" w:cstheme="minorBidi"/>
          <w:bCs w:val="0"/>
          <w:iCs w:val="0"/>
          <w14:ligatures w14:val="standardContextual"/>
        </w:rPr>
      </w:r>
    </w:p>
    <w:p>
      <w:pPr>
        <w:pStyle w:val="1338"/>
        <w:rPr>
          <w:rFonts w:asciiTheme="minorHAnsi" w:hAnsiTheme="minorHAnsi" w:eastAsiaTheme="minorEastAsia" w:cstheme="minorBidi"/>
          <w:szCs w:val="24"/>
          <w14:ligatures w14:val="standardContextual"/>
        </w:rPr>
      </w:pPr>
      <w:r/>
      <w:hyperlink w:tooltip="#_Toc221869912" w:anchor="_Toc221869912" w:history="1">
        <w:r>
          <w:rPr>
            <w:rStyle w:val="1331"/>
          </w:rPr>
          <w:t xml:space="preserve">4.2.6.1.</w:t>
        </w:r>
        <w:r>
          <w:rPr>
            <w:rFonts w:asciiTheme="minorHAnsi" w:hAnsiTheme="minorHAnsi" w:eastAsiaTheme="minorEastAsia" w:cstheme="minorBidi"/>
            <w:szCs w:val="24"/>
            <w14:ligatures w14:val="standardContextual"/>
          </w:rPr>
          <w:tab/>
        </w:r>
        <w:r>
          <w:rPr>
            <w:rStyle w:val="1331"/>
          </w:rPr>
          <w:t xml:space="preserve">Общая информация</w:t>
        </w:r>
        <w:r>
          <w:tab/>
        </w:r>
        <w:r>
          <w:fldChar w:fldCharType="begin"/>
        </w:r>
        <w:r>
          <w:instrText xml:space="preserve"> PAGEREF _Toc221869912 \h </w:instrText>
        </w:r>
        <w:r/>
        <w:r>
          <w:fldChar w:fldCharType="separate"/>
        </w:r>
        <w:r>
          <w:t xml:space="preserve">81</w:t>
        </w:r>
        <w:r>
          <w:fldChar w:fldCharType="end"/>
        </w:r>
      </w:hyperlink>
      <w:r/>
      <w:r>
        <w:rPr>
          <w:rFonts w:asciiTheme="minorHAnsi" w:hAnsiTheme="minorHAnsi" w:eastAsiaTheme="minorEastAsia" w:cstheme="minorBidi"/>
          <w:szCs w:val="24"/>
          <w14:ligatures w14:val="standardContextual"/>
        </w:rPr>
      </w:r>
    </w:p>
    <w:p>
      <w:pPr>
        <w:pStyle w:val="1338"/>
        <w:rPr>
          <w:rFonts w:asciiTheme="minorHAnsi" w:hAnsiTheme="minorHAnsi" w:eastAsiaTheme="minorEastAsia" w:cstheme="minorBidi"/>
          <w:szCs w:val="24"/>
          <w14:ligatures w14:val="standardContextual"/>
        </w:rPr>
      </w:pPr>
      <w:r/>
      <w:hyperlink w:tooltip="#_Toc221869913" w:anchor="_Toc221869913" w:history="1">
        <w:r>
          <w:rPr>
            <w:rStyle w:val="1331"/>
          </w:rPr>
          <w:t xml:space="preserve">4.2.6.2.</w:t>
        </w:r>
        <w:r>
          <w:rPr>
            <w:rFonts w:asciiTheme="minorHAnsi" w:hAnsiTheme="minorHAnsi" w:eastAsiaTheme="minorEastAsia" w:cstheme="minorBidi"/>
            <w:szCs w:val="24"/>
            <w14:ligatures w14:val="standardContextual"/>
          </w:rPr>
          <w:tab/>
        </w:r>
        <w:r>
          <w:rPr>
            <w:rStyle w:val="1331"/>
          </w:rPr>
          <w:t xml:space="preserve">Действия в случае нахождения ошибок</w:t>
        </w:r>
        <w:r>
          <w:tab/>
        </w:r>
        <w:r>
          <w:fldChar w:fldCharType="begin"/>
        </w:r>
        <w:r>
          <w:instrText xml:space="preserve"> PAGEREF _Toc221869913 \h </w:instrText>
        </w:r>
        <w:r/>
        <w:r>
          <w:fldChar w:fldCharType="separate"/>
        </w:r>
        <w:r>
          <w:t xml:space="preserve">82</w:t>
        </w:r>
        <w:r>
          <w:fldChar w:fldCharType="end"/>
        </w:r>
      </w:hyperlink>
      <w:r/>
      <w:r>
        <w:rPr>
          <w:rFonts w:asciiTheme="minorHAnsi" w:hAnsiTheme="minorHAnsi" w:eastAsiaTheme="minorEastAsia" w:cstheme="minorBidi"/>
          <w:szCs w:val="24"/>
          <w14:ligatures w14:val="standardContextual"/>
        </w:rPr>
      </w:r>
    </w:p>
    <w:p>
      <w:pPr>
        <w:pStyle w:val="1334"/>
        <w:rPr>
          <w:rFonts w:asciiTheme="minorHAnsi" w:hAnsiTheme="minorHAnsi" w:eastAsiaTheme="minorEastAsia" w:cstheme="minorBidi"/>
          <w:bCs w:val="0"/>
          <w:iCs w:val="0"/>
          <w14:ligatures w14:val="standardContextual"/>
        </w:rPr>
      </w:pPr>
      <w:r/>
      <w:hyperlink w:tooltip="#_Toc221869914" w:anchor="_Toc221869914" w:history="1">
        <w:r>
          <w:rPr>
            <w:rStyle w:val="1331"/>
          </w:rPr>
          <w:t xml:space="preserve">4.2.7.</w:t>
        </w:r>
        <w:r>
          <w:rPr>
            <w:rFonts w:asciiTheme="minorHAnsi" w:hAnsiTheme="minorHAnsi" w:eastAsiaTheme="minorEastAsia" w:cstheme="minorBidi"/>
            <w:bCs w:val="0"/>
            <w:iCs w:val="0"/>
            <w14:ligatures w14:val="standardContextual"/>
          </w:rPr>
          <w:tab/>
        </w:r>
        <w:r>
          <w:rPr>
            <w:rStyle w:val="1331"/>
          </w:rPr>
          <w:t xml:space="preserve">Сопутствующие документы по заявлению лицевого счета</w:t>
        </w:r>
        <w:r>
          <w:tab/>
        </w:r>
        <w:r>
          <w:fldChar w:fldCharType="begin"/>
        </w:r>
        <w:r>
          <w:instrText xml:space="preserve"> PAGEREF _Toc221869914 \h </w:instrText>
        </w:r>
        <w:r/>
        <w:r>
          <w:fldChar w:fldCharType="separate"/>
        </w:r>
        <w:r>
          <w:t xml:space="preserve">83</w:t>
        </w:r>
        <w:r>
          <w:fldChar w:fldCharType="end"/>
        </w:r>
      </w:hyperlink>
      <w:r/>
      <w:r>
        <w:rPr>
          <w:rFonts w:asciiTheme="minorHAnsi" w:hAnsiTheme="minorHAnsi" w:eastAsiaTheme="minorEastAsia" w:cstheme="minorBidi"/>
          <w:bCs w:val="0"/>
          <w:iCs w:val="0"/>
          <w14:ligatures w14:val="standardContextual"/>
        </w:rPr>
      </w:r>
    </w:p>
    <w:p>
      <w:pPr>
        <w:pStyle w:val="1338"/>
        <w:rPr>
          <w:rFonts w:asciiTheme="minorHAnsi" w:hAnsiTheme="minorHAnsi" w:eastAsiaTheme="minorEastAsia" w:cstheme="minorBidi"/>
          <w:szCs w:val="24"/>
          <w14:ligatures w14:val="standardContextual"/>
        </w:rPr>
      </w:pPr>
      <w:r/>
      <w:hyperlink w:tooltip="#_Toc221869915" w:anchor="_Toc221869915" w:history="1">
        <w:r>
          <w:rPr>
            <w:rStyle w:val="1331"/>
          </w:rPr>
          <w:t xml:space="preserve">4.2.7.1.</w:t>
        </w:r>
        <w:r>
          <w:rPr>
            <w:rFonts w:asciiTheme="minorHAnsi" w:hAnsiTheme="minorHAnsi" w:eastAsiaTheme="minorEastAsia" w:cstheme="minorBidi"/>
            <w:szCs w:val="24"/>
            <w14:ligatures w14:val="standardContextual"/>
          </w:rPr>
          <w:tab/>
        </w:r>
        <w:r>
          <w:rPr>
            <w:rStyle w:val="1331"/>
          </w:rPr>
          <w:t xml:space="preserve">Документ «Извещение в ФНС по Лицевому счету»</w:t>
        </w:r>
        <w:r>
          <w:tab/>
        </w:r>
        <w:r>
          <w:fldChar w:fldCharType="begin"/>
        </w:r>
        <w:r>
          <w:instrText xml:space="preserve"> PAGEREF _Toc221869915 \h </w:instrText>
        </w:r>
        <w:r/>
        <w:r>
          <w:fldChar w:fldCharType="separate"/>
        </w:r>
        <w:r>
          <w:t xml:space="preserve">84</w:t>
        </w:r>
        <w:r>
          <w:fldChar w:fldCharType="end"/>
        </w:r>
      </w:hyperlink>
      <w:r/>
      <w:r>
        <w:rPr>
          <w:rFonts w:asciiTheme="minorHAnsi" w:hAnsiTheme="minorHAnsi" w:eastAsiaTheme="minorEastAsia" w:cstheme="minorBidi"/>
          <w:szCs w:val="24"/>
          <w14:ligatures w14:val="standardContextual"/>
        </w:rPr>
      </w:r>
    </w:p>
    <w:p>
      <w:pPr>
        <w:pStyle w:val="1338"/>
        <w:rPr>
          <w:rFonts w:asciiTheme="minorHAnsi" w:hAnsiTheme="minorHAnsi" w:eastAsiaTheme="minorEastAsia" w:cstheme="minorBidi"/>
          <w:szCs w:val="24"/>
          <w14:ligatures w14:val="standardContextual"/>
        </w:rPr>
      </w:pPr>
      <w:r/>
      <w:hyperlink w:tooltip="#_Toc221869916" w:anchor="_Toc221869916" w:history="1">
        <w:r>
          <w:rPr>
            <w:rStyle w:val="1331"/>
          </w:rPr>
          <w:t xml:space="preserve">4.2.7.2.</w:t>
        </w:r>
        <w:r>
          <w:rPr>
            <w:rFonts w:asciiTheme="minorHAnsi" w:hAnsiTheme="minorHAnsi" w:eastAsiaTheme="minorEastAsia" w:cstheme="minorBidi"/>
            <w:szCs w:val="24"/>
            <w14:ligatures w14:val="standardContextual"/>
          </w:rPr>
          <w:tab/>
        </w:r>
        <w:r>
          <w:rPr>
            <w:rStyle w:val="1331"/>
          </w:rPr>
          <w:t xml:space="preserve">Документ «Уведомление клиента Лицевого счета»</w:t>
        </w:r>
        <w:r>
          <w:tab/>
        </w:r>
        <w:r>
          <w:fldChar w:fldCharType="begin"/>
        </w:r>
        <w:r>
          <w:instrText xml:space="preserve"> PAGEREF _Toc221869916 \h </w:instrText>
        </w:r>
        <w:r/>
        <w:r>
          <w:fldChar w:fldCharType="separate"/>
        </w:r>
        <w:r>
          <w:t xml:space="preserve">85</w:t>
        </w:r>
        <w:r>
          <w:fldChar w:fldCharType="end"/>
        </w:r>
      </w:hyperlink>
      <w:r/>
      <w:r>
        <w:rPr>
          <w:rFonts w:asciiTheme="minorHAnsi" w:hAnsiTheme="minorHAnsi" w:eastAsiaTheme="minorEastAsia" w:cstheme="minorBidi"/>
          <w:szCs w:val="24"/>
          <w14:ligatures w14:val="standardContextual"/>
        </w:rPr>
      </w:r>
    </w:p>
    <w:p>
      <w:pPr>
        <w:pStyle w:val="1338"/>
        <w:rPr>
          <w:rFonts w:asciiTheme="minorHAnsi" w:hAnsiTheme="minorHAnsi" w:eastAsiaTheme="minorEastAsia" w:cstheme="minorBidi"/>
          <w:szCs w:val="24"/>
          <w14:ligatures w14:val="standardContextual"/>
        </w:rPr>
      </w:pPr>
      <w:r/>
      <w:hyperlink w:tooltip="#_Toc221869917" w:anchor="_Toc221869917" w:history="1">
        <w:r>
          <w:rPr>
            <w:rStyle w:val="1331"/>
          </w:rPr>
          <w:t xml:space="preserve">4.2.7.3.</w:t>
        </w:r>
        <w:r>
          <w:rPr>
            <w:rFonts w:asciiTheme="minorHAnsi" w:hAnsiTheme="minorHAnsi" w:eastAsiaTheme="minorEastAsia" w:cstheme="minorBidi"/>
            <w:szCs w:val="24"/>
            <w14:ligatures w14:val="standardContextual"/>
          </w:rPr>
          <w:tab/>
        </w:r>
        <w:r>
          <w:rPr>
            <w:rStyle w:val="1331"/>
          </w:rPr>
          <w:t xml:space="preserve">Документ «Протоколы»</w:t>
        </w:r>
        <w:r>
          <w:tab/>
        </w:r>
        <w:r>
          <w:fldChar w:fldCharType="begin"/>
        </w:r>
        <w:r>
          <w:instrText xml:space="preserve"> PAGEREF _Toc221869917 \h </w:instrText>
        </w:r>
        <w:r/>
        <w:r>
          <w:fldChar w:fldCharType="separate"/>
        </w:r>
        <w:r>
          <w:t xml:space="preserve">88</w:t>
        </w:r>
        <w:r>
          <w:fldChar w:fldCharType="end"/>
        </w:r>
      </w:hyperlink>
      <w:r/>
      <w:r>
        <w:rPr>
          <w:rFonts w:asciiTheme="minorHAnsi" w:hAnsiTheme="minorHAnsi" w:eastAsiaTheme="minorEastAsia" w:cstheme="minorBidi"/>
          <w:szCs w:val="24"/>
          <w14:ligatures w14:val="standardContextual"/>
        </w:rPr>
      </w:r>
    </w:p>
    <w:p>
      <w:pPr>
        <w:pStyle w:val="1338"/>
        <w:rPr>
          <w:rFonts w:asciiTheme="minorHAnsi" w:hAnsiTheme="minorHAnsi" w:eastAsiaTheme="minorEastAsia" w:cstheme="minorBidi"/>
          <w:szCs w:val="24"/>
          <w14:ligatures w14:val="standardContextual"/>
        </w:rPr>
      </w:pPr>
      <w:r/>
      <w:hyperlink w:tooltip="#_Toc221869918" w:anchor="_Toc221869918" w:history="1">
        <w:r>
          <w:rPr>
            <w:rStyle w:val="1331"/>
          </w:rPr>
          <w:t xml:space="preserve">4.2.7.4.</w:t>
        </w:r>
        <w:r>
          <w:rPr>
            <w:rFonts w:asciiTheme="minorHAnsi" w:hAnsiTheme="minorHAnsi" w:eastAsiaTheme="minorEastAsia" w:cstheme="minorBidi"/>
            <w:szCs w:val="24"/>
            <w14:ligatures w14:val="standardContextual"/>
          </w:rPr>
          <w:tab/>
        </w:r>
        <w:r>
          <w:rPr>
            <w:rStyle w:val="1331"/>
          </w:rPr>
          <w:t xml:space="preserve">Документ «Информация о реквизитах ЛС»</w:t>
        </w:r>
        <w:r>
          <w:tab/>
        </w:r>
        <w:r>
          <w:fldChar w:fldCharType="begin"/>
        </w:r>
        <w:r>
          <w:instrText xml:space="preserve"> PAGEREF _Toc221869918 \h </w:instrText>
        </w:r>
        <w:r/>
        <w:r>
          <w:fldChar w:fldCharType="separate"/>
        </w:r>
        <w:r>
          <w:t xml:space="preserve">89</w:t>
        </w:r>
        <w:r>
          <w:fldChar w:fldCharType="end"/>
        </w:r>
      </w:hyperlink>
      <w:r/>
      <w:r>
        <w:rPr>
          <w:rFonts w:asciiTheme="minorHAnsi" w:hAnsiTheme="minorHAnsi" w:eastAsiaTheme="minorEastAsia" w:cstheme="minorBidi"/>
          <w:szCs w:val="24"/>
          <w14:ligatures w14:val="standardContextual"/>
        </w:rPr>
      </w:r>
    </w:p>
    <w:p>
      <w:pPr>
        <w:pStyle w:val="1338"/>
        <w:rPr>
          <w:rFonts w:asciiTheme="minorHAnsi" w:hAnsiTheme="minorHAnsi" w:eastAsiaTheme="minorEastAsia" w:cstheme="minorBidi"/>
          <w:szCs w:val="24"/>
          <w14:ligatures w14:val="standardContextual"/>
        </w:rPr>
      </w:pPr>
      <w:r/>
      <w:hyperlink w:tooltip="#_Toc221869919" w:anchor="_Toc221869919" w:history="1">
        <w:r>
          <w:rPr>
            <w:rStyle w:val="1331"/>
          </w:rPr>
          <w:t xml:space="preserve">4.2.7.5.</w:t>
        </w:r>
        <w:r>
          <w:rPr>
            <w:rFonts w:asciiTheme="minorHAnsi" w:hAnsiTheme="minorHAnsi" w:eastAsiaTheme="minorEastAsia" w:cstheme="minorBidi"/>
            <w:szCs w:val="24"/>
            <w14:ligatures w14:val="standardContextual"/>
          </w:rPr>
          <w:tab/>
        </w:r>
        <w:r>
          <w:rPr>
            <w:rStyle w:val="1331"/>
          </w:rPr>
          <w:t xml:space="preserve">Документ «Уведомление об открытии (отказе открытия) лицевого счета головному исполнителю (исполнителю)»</w:t>
        </w:r>
        <w:r>
          <w:tab/>
        </w:r>
        <w:r>
          <w:fldChar w:fldCharType="begin"/>
        </w:r>
        <w:r>
          <w:instrText xml:space="preserve"> PAGEREF _Toc221869919 \h </w:instrText>
        </w:r>
        <w:r/>
        <w:r>
          <w:fldChar w:fldCharType="separate"/>
        </w:r>
        <w:r>
          <w:t xml:space="preserve">91</w:t>
        </w:r>
        <w:r>
          <w:fldChar w:fldCharType="end"/>
        </w:r>
      </w:hyperlink>
      <w:r/>
      <w:r>
        <w:rPr>
          <w:rFonts w:asciiTheme="minorHAnsi" w:hAnsiTheme="minorHAnsi" w:eastAsiaTheme="minorEastAsia" w:cstheme="minorBidi"/>
          <w:szCs w:val="24"/>
          <w14:ligatures w14:val="standardContextual"/>
        </w:rPr>
      </w:r>
    </w:p>
    <w:p>
      <w:pPr>
        <w:pStyle w:val="1338"/>
        <w:rPr>
          <w:rFonts w:asciiTheme="minorHAnsi" w:hAnsiTheme="minorHAnsi" w:eastAsiaTheme="minorEastAsia" w:cstheme="minorBidi"/>
          <w:szCs w:val="24"/>
          <w14:ligatures w14:val="standardContextual"/>
        </w:rPr>
      </w:pPr>
      <w:r/>
      <w:hyperlink w:tooltip="#_Toc221869920" w:anchor="_Toc221869920" w:history="1">
        <w:r>
          <w:rPr>
            <w:rStyle w:val="1331"/>
          </w:rPr>
          <w:t xml:space="preserve">4.2.7.6.</w:t>
        </w:r>
        <w:r>
          <w:rPr>
            <w:rFonts w:asciiTheme="minorHAnsi" w:hAnsiTheme="minorHAnsi" w:eastAsiaTheme="minorEastAsia" w:cstheme="minorBidi"/>
            <w:szCs w:val="24"/>
            <w14:ligatures w14:val="standardContextual"/>
          </w:rPr>
          <w:tab/>
        </w:r>
        <w:r>
          <w:rPr>
            <w:rStyle w:val="1331"/>
          </w:rPr>
          <w:t xml:space="preserve">Документ «Сообщение о прекращении операций по лицевому счету»</w:t>
        </w:r>
        <w:r>
          <w:tab/>
        </w:r>
        <w:r>
          <w:fldChar w:fldCharType="begin"/>
        </w:r>
        <w:r>
          <w:instrText xml:space="preserve"> PAGEREF _Toc221869920 \h </w:instrText>
        </w:r>
        <w:r/>
        <w:r>
          <w:fldChar w:fldCharType="separate"/>
        </w:r>
        <w:r>
          <w:t xml:space="preserve">107</w:t>
        </w:r>
        <w:r>
          <w:fldChar w:fldCharType="end"/>
        </w:r>
      </w:hyperlink>
      <w:r/>
      <w:r>
        <w:rPr>
          <w:rFonts w:asciiTheme="minorHAnsi" w:hAnsiTheme="minorHAnsi" w:eastAsiaTheme="minorEastAsia" w:cstheme="minorBidi"/>
          <w:szCs w:val="24"/>
          <w14:ligatures w14:val="standardContextual"/>
        </w:rPr>
      </w:r>
    </w:p>
    <w:p>
      <w:pPr>
        <w:pStyle w:val="1333"/>
        <w:rPr>
          <w:rFonts w:asciiTheme="minorHAnsi" w:hAnsiTheme="minorHAnsi" w:eastAsiaTheme="minorEastAsia" w:cstheme="minorBidi"/>
          <w:bCs w:val="0"/>
          <w14:ligatures w14:val="standardContextual"/>
        </w:rPr>
      </w:pPr>
      <w:r/>
      <w:hyperlink w:tooltip="#_Toc221869921" w:anchor="_Toc221869921" w:history="1">
        <w:r>
          <w:rPr>
            <w:rStyle w:val="1331"/>
          </w:rPr>
          <w:t xml:space="preserve">4.3.</w:t>
        </w:r>
        <w:r>
          <w:rPr>
            <w:rFonts w:asciiTheme="minorHAnsi" w:hAnsiTheme="minorHAnsi" w:eastAsiaTheme="minorEastAsia" w:cstheme="minorBidi"/>
            <w:bCs w:val="0"/>
            <w14:ligatures w14:val="standardContextual"/>
          </w:rPr>
          <w:tab/>
        </w:r>
        <w:r>
          <w:rPr>
            <w:rStyle w:val="1331"/>
          </w:rPr>
          <w:t xml:space="preserve">Просмотр записей справочника «Типы документов-оснований»</w:t>
        </w:r>
        <w:r>
          <w:tab/>
        </w:r>
        <w:r>
          <w:fldChar w:fldCharType="begin"/>
        </w:r>
        <w:r>
          <w:instrText xml:space="preserve"> PAGEREF _Toc221869921 \h </w:instrText>
        </w:r>
        <w:r/>
        <w:r>
          <w:fldChar w:fldCharType="separate"/>
        </w:r>
        <w:r>
          <w:t xml:space="preserve">107</w:t>
        </w:r>
        <w:r>
          <w:fldChar w:fldCharType="end"/>
        </w:r>
      </w:hyperlink>
      <w:r/>
      <w:r>
        <w:rPr>
          <w:rFonts w:asciiTheme="minorHAnsi" w:hAnsiTheme="minorHAnsi" w:eastAsiaTheme="minorEastAsia" w:cstheme="minorBidi"/>
          <w:bCs w:val="0"/>
          <w14:ligatures w14:val="standardContextual"/>
        </w:rPr>
      </w:r>
    </w:p>
    <w:p>
      <w:pPr>
        <w:pStyle w:val="1334"/>
        <w:rPr>
          <w:rFonts w:asciiTheme="minorHAnsi" w:hAnsiTheme="minorHAnsi" w:eastAsiaTheme="minorEastAsia" w:cstheme="minorBidi"/>
          <w:bCs w:val="0"/>
          <w:iCs w:val="0"/>
          <w14:ligatures w14:val="standardContextual"/>
        </w:rPr>
      </w:pPr>
      <w:r/>
      <w:hyperlink w:tooltip="#_Toc221869922" w:anchor="_Toc221869922" w:history="1">
        <w:r>
          <w:rPr>
            <w:rStyle w:val="1331"/>
          </w:rPr>
          <w:t xml:space="preserve">4.3.1.</w:t>
        </w:r>
        <w:r>
          <w:rPr>
            <w:rFonts w:asciiTheme="minorHAnsi" w:hAnsiTheme="minorHAnsi" w:eastAsiaTheme="minorEastAsia" w:cstheme="minorBidi"/>
            <w:bCs w:val="0"/>
            <w:iCs w:val="0"/>
            <w14:ligatures w14:val="standardContextual"/>
          </w:rPr>
          <w:tab/>
        </w:r>
        <w:r>
          <w:rPr>
            <w:rStyle w:val="1331"/>
          </w:rPr>
          <w:t xml:space="preserve">Списковая форма справочника «Типы документов-оснований»</w:t>
        </w:r>
        <w:r>
          <w:tab/>
        </w:r>
        <w:r>
          <w:fldChar w:fldCharType="begin"/>
        </w:r>
        <w:r>
          <w:instrText xml:space="preserve"> PAGEREF _Toc221869922 \h </w:instrText>
        </w:r>
        <w:r/>
        <w:r>
          <w:fldChar w:fldCharType="separate"/>
        </w:r>
        <w:r>
          <w:t xml:space="preserve">108</w:t>
        </w:r>
        <w:r>
          <w:fldChar w:fldCharType="end"/>
        </w:r>
      </w:hyperlink>
      <w:r/>
      <w:r>
        <w:rPr>
          <w:rFonts w:asciiTheme="minorHAnsi" w:hAnsiTheme="minorHAnsi" w:eastAsiaTheme="minorEastAsia" w:cstheme="minorBidi"/>
          <w:bCs w:val="0"/>
          <w:iCs w:val="0"/>
          <w14:ligatures w14:val="standardContextual"/>
        </w:rPr>
      </w:r>
    </w:p>
    <w:p>
      <w:pPr>
        <w:pStyle w:val="1334"/>
        <w:rPr>
          <w:rFonts w:asciiTheme="minorHAnsi" w:hAnsiTheme="minorHAnsi" w:eastAsiaTheme="minorEastAsia" w:cstheme="minorBidi"/>
          <w:bCs w:val="0"/>
          <w:iCs w:val="0"/>
          <w14:ligatures w14:val="standardContextual"/>
        </w:rPr>
      </w:pPr>
      <w:r/>
      <w:hyperlink w:tooltip="#_Toc221869923" w:anchor="_Toc221869923" w:history="1">
        <w:r>
          <w:rPr>
            <w:rStyle w:val="1331"/>
          </w:rPr>
          <w:t xml:space="preserve">4.3.2.</w:t>
        </w:r>
        <w:r>
          <w:rPr>
            <w:rFonts w:asciiTheme="minorHAnsi" w:hAnsiTheme="minorHAnsi" w:eastAsiaTheme="minorEastAsia" w:cstheme="minorBidi"/>
            <w:bCs w:val="0"/>
            <w:iCs w:val="0"/>
            <w14:ligatures w14:val="standardContextual"/>
          </w:rPr>
          <w:tab/>
        </w:r>
        <w:r>
          <w:rPr>
            <w:rStyle w:val="1331"/>
          </w:rPr>
          <w:t xml:space="preserve">Визуальная форма записи справочника «Типы документов-оснований»</w:t>
        </w:r>
        <w:r>
          <w:tab/>
        </w:r>
        <w:r>
          <w:fldChar w:fldCharType="begin"/>
        </w:r>
        <w:r>
          <w:instrText xml:space="preserve"> PAGEREF _Toc221869923 \h </w:instrText>
        </w:r>
        <w:r/>
        <w:r>
          <w:fldChar w:fldCharType="separate"/>
        </w:r>
        <w:r>
          <w:t xml:space="preserve">108</w:t>
        </w:r>
        <w:r>
          <w:fldChar w:fldCharType="end"/>
        </w:r>
      </w:hyperlink>
      <w:r/>
      <w:r>
        <w:rPr>
          <w:rFonts w:asciiTheme="minorHAnsi" w:hAnsiTheme="minorHAnsi" w:eastAsiaTheme="minorEastAsia" w:cstheme="minorBidi"/>
          <w:bCs w:val="0"/>
          <w:iCs w:val="0"/>
          <w14:ligatures w14:val="standardContextual"/>
        </w:rPr>
      </w:r>
    </w:p>
    <w:p>
      <w:pPr>
        <w:pStyle w:val="1334"/>
        <w:rPr>
          <w:rFonts w:asciiTheme="minorHAnsi" w:hAnsiTheme="minorHAnsi" w:eastAsiaTheme="minorEastAsia" w:cstheme="minorBidi"/>
          <w:bCs w:val="0"/>
          <w:iCs w:val="0"/>
          <w14:ligatures w14:val="standardContextual"/>
        </w:rPr>
      </w:pPr>
      <w:r/>
      <w:hyperlink w:tooltip="#_Toc221869924" w:anchor="_Toc221869924" w:history="1">
        <w:r>
          <w:rPr>
            <w:rStyle w:val="1331"/>
          </w:rPr>
          <w:t xml:space="preserve">4.3.3.</w:t>
        </w:r>
        <w:r>
          <w:rPr>
            <w:rFonts w:asciiTheme="minorHAnsi" w:hAnsiTheme="minorHAnsi" w:eastAsiaTheme="minorEastAsia" w:cstheme="minorBidi"/>
            <w:bCs w:val="0"/>
            <w:iCs w:val="0"/>
            <w14:ligatures w14:val="standardContextual"/>
          </w:rPr>
          <w:tab/>
        </w:r>
        <w:r>
          <w:rPr>
            <w:rStyle w:val="1331"/>
          </w:rPr>
          <w:t xml:space="preserve">Реквизитный состав записи справочника «Типы документов-оснований»</w:t>
        </w:r>
        <w:r>
          <w:tab/>
        </w:r>
        <w:r>
          <w:fldChar w:fldCharType="begin"/>
        </w:r>
        <w:r>
          <w:instrText xml:space="preserve"> PAGEREF _Toc221869924 \h </w:instrText>
        </w:r>
        <w:r/>
        <w:r>
          <w:fldChar w:fldCharType="separate"/>
        </w:r>
        <w:r>
          <w:t xml:space="preserve">109</w:t>
        </w:r>
        <w:r>
          <w:fldChar w:fldCharType="end"/>
        </w:r>
      </w:hyperlink>
      <w:r/>
      <w:r>
        <w:rPr>
          <w:rFonts w:asciiTheme="minorHAnsi" w:hAnsiTheme="minorHAnsi" w:eastAsiaTheme="minorEastAsia" w:cstheme="minorBidi"/>
          <w:bCs w:val="0"/>
          <w:iCs w:val="0"/>
          <w14:ligatures w14:val="standardContextual"/>
        </w:rPr>
      </w:r>
    </w:p>
    <w:p>
      <w:pPr>
        <w:pStyle w:val="1333"/>
        <w:rPr>
          <w:rFonts w:asciiTheme="minorHAnsi" w:hAnsiTheme="minorHAnsi" w:eastAsiaTheme="minorEastAsia" w:cstheme="minorBidi"/>
          <w:bCs w:val="0"/>
          <w14:ligatures w14:val="standardContextual"/>
        </w:rPr>
      </w:pPr>
      <w:r/>
      <w:hyperlink w:tooltip="#_Toc221869925" w:anchor="_Toc221869925" w:history="1">
        <w:r>
          <w:rPr>
            <w:rStyle w:val="1331"/>
          </w:rPr>
          <w:t xml:space="preserve">4.4.</w:t>
        </w:r>
        <w:r>
          <w:rPr>
            <w:rFonts w:asciiTheme="minorHAnsi" w:hAnsiTheme="minorHAnsi" w:eastAsiaTheme="minorEastAsia" w:cstheme="minorBidi"/>
            <w:bCs w:val="0"/>
            <w14:ligatures w14:val="standardContextual"/>
          </w:rPr>
          <w:tab/>
        </w:r>
        <w:r>
          <w:rPr>
            <w:rStyle w:val="1331"/>
          </w:rPr>
          <w:t xml:space="preserve">Ведение справочника «Электронная карточка образцов подписей»</w:t>
        </w:r>
        <w:r>
          <w:tab/>
        </w:r>
        <w:r>
          <w:fldChar w:fldCharType="begin"/>
        </w:r>
        <w:r>
          <w:instrText xml:space="preserve"> PAGEREF _Toc221869925 \h </w:instrText>
        </w:r>
        <w:r/>
        <w:r>
          <w:fldChar w:fldCharType="separate"/>
        </w:r>
        <w:r>
          <w:t xml:space="preserve">110</w:t>
        </w:r>
        <w:r>
          <w:fldChar w:fldCharType="end"/>
        </w:r>
      </w:hyperlink>
      <w:r/>
      <w:r>
        <w:rPr>
          <w:rFonts w:asciiTheme="minorHAnsi" w:hAnsiTheme="minorHAnsi" w:eastAsiaTheme="minorEastAsia" w:cstheme="minorBidi"/>
          <w:bCs w:val="0"/>
          <w14:ligatures w14:val="standardContextual"/>
        </w:rPr>
      </w:r>
    </w:p>
    <w:p>
      <w:pPr>
        <w:pStyle w:val="1334"/>
        <w:rPr>
          <w:rFonts w:asciiTheme="minorHAnsi" w:hAnsiTheme="minorHAnsi" w:eastAsiaTheme="minorEastAsia" w:cstheme="minorBidi"/>
          <w:bCs w:val="0"/>
          <w:iCs w:val="0"/>
          <w14:ligatures w14:val="standardContextual"/>
        </w:rPr>
      </w:pPr>
      <w:r/>
      <w:hyperlink w:tooltip="#_Toc221869926" w:anchor="_Toc221869926" w:history="1">
        <w:r>
          <w:rPr>
            <w:rStyle w:val="1331"/>
          </w:rPr>
          <w:t xml:space="preserve">4.4.1.</w:t>
        </w:r>
        <w:r>
          <w:rPr>
            <w:rFonts w:asciiTheme="minorHAnsi" w:hAnsiTheme="minorHAnsi" w:eastAsiaTheme="minorEastAsia" w:cstheme="minorBidi"/>
            <w:bCs w:val="0"/>
            <w:iCs w:val="0"/>
            <w14:ligatures w14:val="standardContextual"/>
          </w:rPr>
          <w:tab/>
        </w:r>
        <w:r>
          <w:rPr>
            <w:rStyle w:val="1331"/>
          </w:rPr>
          <w:t xml:space="preserve">Визуальная форма записи справочника «Электронная карточка образцов подписей»</w:t>
        </w:r>
        <w:r>
          <w:tab/>
        </w:r>
        <w:r>
          <w:fldChar w:fldCharType="begin"/>
        </w:r>
        <w:r>
          <w:instrText xml:space="preserve"> PAGEREF _Toc221869926 \h </w:instrText>
        </w:r>
        <w:r/>
        <w:r>
          <w:fldChar w:fldCharType="separate"/>
        </w:r>
        <w:r>
          <w:t xml:space="preserve">110</w:t>
        </w:r>
        <w:r>
          <w:fldChar w:fldCharType="end"/>
        </w:r>
      </w:hyperlink>
      <w:r/>
      <w:r>
        <w:rPr>
          <w:rFonts w:asciiTheme="minorHAnsi" w:hAnsiTheme="minorHAnsi" w:eastAsiaTheme="minorEastAsia" w:cstheme="minorBidi"/>
          <w:bCs w:val="0"/>
          <w:iCs w:val="0"/>
          <w14:ligatures w14:val="standardContextual"/>
        </w:rPr>
      </w:r>
    </w:p>
    <w:p>
      <w:pPr>
        <w:pStyle w:val="1334"/>
        <w:rPr>
          <w:rFonts w:asciiTheme="minorHAnsi" w:hAnsiTheme="minorHAnsi" w:eastAsiaTheme="minorEastAsia" w:cstheme="minorBidi"/>
          <w:bCs w:val="0"/>
          <w:iCs w:val="0"/>
          <w14:ligatures w14:val="standardContextual"/>
        </w:rPr>
      </w:pPr>
      <w:r/>
      <w:hyperlink w:tooltip="#_Toc221869927" w:anchor="_Toc221869927" w:history="1">
        <w:r>
          <w:rPr>
            <w:rStyle w:val="1331"/>
          </w:rPr>
          <w:t xml:space="preserve">4.4.2.</w:t>
        </w:r>
        <w:r>
          <w:rPr>
            <w:rFonts w:asciiTheme="minorHAnsi" w:hAnsiTheme="minorHAnsi" w:eastAsiaTheme="minorEastAsia" w:cstheme="minorBidi"/>
            <w:bCs w:val="0"/>
            <w:iCs w:val="0"/>
            <w14:ligatures w14:val="standardContextual"/>
          </w:rPr>
          <w:tab/>
        </w:r>
        <w:r>
          <w:rPr>
            <w:rStyle w:val="1331"/>
          </w:rPr>
          <w:t xml:space="preserve">Реквизитный состав записи справочника «Электронная карточка образцов подписей»</w:t>
        </w:r>
        <w:r>
          <w:tab/>
        </w:r>
        <w:r>
          <w:fldChar w:fldCharType="begin"/>
        </w:r>
        <w:r>
          <w:instrText xml:space="preserve"> PAGEREF _Toc221869927 \h </w:instrText>
        </w:r>
        <w:r/>
        <w:r>
          <w:fldChar w:fldCharType="separate"/>
        </w:r>
        <w:r>
          <w:t xml:space="preserve">111</w:t>
        </w:r>
        <w:r>
          <w:fldChar w:fldCharType="end"/>
        </w:r>
      </w:hyperlink>
      <w:r/>
      <w:r>
        <w:rPr>
          <w:rFonts w:asciiTheme="minorHAnsi" w:hAnsiTheme="minorHAnsi" w:eastAsiaTheme="minorEastAsia" w:cstheme="minorBidi"/>
          <w:bCs w:val="0"/>
          <w:iCs w:val="0"/>
          <w14:ligatures w14:val="standardContextual"/>
        </w:rPr>
      </w:r>
    </w:p>
    <w:p>
      <w:pPr>
        <w:pStyle w:val="1332"/>
        <w:rPr>
          <w:rFonts w:asciiTheme="minorHAnsi" w:hAnsiTheme="minorHAnsi" w:eastAsiaTheme="minorEastAsia" w:cstheme="minorBidi"/>
          <w:b w:val="0"/>
          <w:bCs w:val="0"/>
          <w:caps w:val="0"/>
          <w14:ligatures w14:val="standardContextual"/>
        </w:rPr>
      </w:pPr>
      <w:r/>
      <w:hyperlink w:tooltip="#_Toc221869928" w:anchor="_Toc221869928" w:history="1">
        <w:r>
          <w:rPr>
            <w:rStyle w:val="1331"/>
          </w:rPr>
          <w:t xml:space="preserve">5.</w:t>
        </w:r>
        <w:r>
          <w:rPr>
            <w:rFonts w:asciiTheme="minorHAnsi" w:hAnsiTheme="minorHAnsi" w:eastAsiaTheme="minorEastAsia" w:cstheme="minorBidi"/>
            <w:b w:val="0"/>
            <w:bCs w:val="0"/>
            <w:caps w:val="0"/>
            <w14:ligatures w14:val="standardContextual"/>
          </w:rPr>
          <w:tab/>
        </w:r>
        <w:r>
          <w:rPr>
            <w:rStyle w:val="1331"/>
          </w:rPr>
          <w:t xml:space="preserve">Описание интерфейса, управляющих элементов и сообщений</w:t>
        </w:r>
        <w:r>
          <w:tab/>
        </w:r>
        <w:r>
          <w:fldChar w:fldCharType="begin"/>
        </w:r>
        <w:r>
          <w:instrText xml:space="preserve"> PAGEREF _Toc221869928 \h </w:instrText>
        </w:r>
        <w:r/>
        <w:r>
          <w:fldChar w:fldCharType="separate"/>
        </w:r>
        <w:r>
          <w:t xml:space="preserve">113</w:t>
        </w:r>
        <w:r>
          <w:fldChar w:fldCharType="end"/>
        </w:r>
      </w:hyperlink>
      <w:r/>
      <w:r>
        <w:rPr>
          <w:rFonts w:asciiTheme="minorHAnsi" w:hAnsiTheme="minorHAnsi" w:eastAsiaTheme="minorEastAsia" w:cstheme="minorBidi"/>
          <w:b w:val="0"/>
          <w:bCs w:val="0"/>
          <w:caps w:val="0"/>
          <w14:ligatures w14:val="standardContextual"/>
        </w:rPr>
      </w:r>
    </w:p>
    <w:p>
      <w:pPr>
        <w:pStyle w:val="1333"/>
        <w:rPr>
          <w:rFonts w:asciiTheme="minorHAnsi" w:hAnsiTheme="minorHAnsi" w:eastAsiaTheme="minorEastAsia" w:cstheme="minorBidi"/>
          <w:bCs w:val="0"/>
          <w14:ligatures w14:val="standardContextual"/>
        </w:rPr>
      </w:pPr>
      <w:r/>
      <w:hyperlink w:tooltip="#_Toc221869929" w:anchor="_Toc221869929" w:history="1">
        <w:r>
          <w:rPr>
            <w:rStyle w:val="1331"/>
          </w:rPr>
          <w:t xml:space="preserve">5.1.</w:t>
        </w:r>
        <w:r>
          <w:rPr>
            <w:rFonts w:asciiTheme="minorHAnsi" w:hAnsiTheme="minorHAnsi" w:eastAsiaTheme="minorEastAsia" w:cstheme="minorBidi"/>
            <w:bCs w:val="0"/>
            <w14:ligatures w14:val="standardContextual"/>
          </w:rPr>
          <w:tab/>
        </w:r>
        <w:r>
          <w:rPr>
            <w:rStyle w:val="1331"/>
          </w:rPr>
          <w:t xml:space="preserve">Общие Сведения о рабочем интерфейсе</w:t>
        </w:r>
        <w:r>
          <w:tab/>
        </w:r>
        <w:r>
          <w:fldChar w:fldCharType="begin"/>
        </w:r>
        <w:r>
          <w:instrText xml:space="preserve"> PAGEREF _Toc221869929 \h </w:instrText>
        </w:r>
        <w:r/>
        <w:r>
          <w:fldChar w:fldCharType="separate"/>
        </w:r>
        <w:r>
          <w:t xml:space="preserve">113</w:t>
        </w:r>
        <w:r>
          <w:fldChar w:fldCharType="end"/>
        </w:r>
      </w:hyperlink>
      <w:r/>
      <w:r>
        <w:rPr>
          <w:rFonts w:asciiTheme="minorHAnsi" w:hAnsiTheme="minorHAnsi" w:eastAsiaTheme="minorEastAsia" w:cstheme="minorBidi"/>
          <w:bCs w:val="0"/>
          <w14:ligatures w14:val="standardContextual"/>
        </w:rPr>
      </w:r>
    </w:p>
    <w:p>
      <w:pPr>
        <w:pStyle w:val="1333"/>
        <w:rPr>
          <w:rFonts w:asciiTheme="minorHAnsi" w:hAnsiTheme="minorHAnsi" w:eastAsiaTheme="minorEastAsia" w:cstheme="minorBidi"/>
          <w:bCs w:val="0"/>
          <w14:ligatures w14:val="standardContextual"/>
        </w:rPr>
      </w:pPr>
      <w:r/>
      <w:hyperlink w:tooltip="#_Toc221869930" w:anchor="_Toc221869930" w:history="1">
        <w:r>
          <w:rPr>
            <w:rStyle w:val="1331"/>
          </w:rPr>
          <w:t xml:space="preserve">5.2.</w:t>
        </w:r>
        <w:r>
          <w:rPr>
            <w:rFonts w:asciiTheme="minorHAnsi" w:hAnsiTheme="minorHAnsi" w:eastAsiaTheme="minorEastAsia" w:cstheme="minorBidi"/>
            <w:bCs w:val="0"/>
            <w14:ligatures w14:val="standardContextual"/>
          </w:rPr>
          <w:tab/>
        </w:r>
        <w:r>
          <w:rPr>
            <w:rStyle w:val="1331"/>
          </w:rPr>
          <w:t xml:space="preserve">Панель инструментов</w:t>
        </w:r>
        <w:r>
          <w:tab/>
        </w:r>
        <w:r>
          <w:fldChar w:fldCharType="begin"/>
        </w:r>
        <w:r>
          <w:instrText xml:space="preserve"> PAGEREF _Toc221869930 \h </w:instrText>
        </w:r>
        <w:r/>
        <w:r>
          <w:fldChar w:fldCharType="separate"/>
        </w:r>
        <w:r>
          <w:t xml:space="preserve">113</w:t>
        </w:r>
        <w:r>
          <w:fldChar w:fldCharType="end"/>
        </w:r>
      </w:hyperlink>
      <w:r/>
      <w:r>
        <w:rPr>
          <w:rFonts w:asciiTheme="minorHAnsi" w:hAnsiTheme="minorHAnsi" w:eastAsiaTheme="minorEastAsia" w:cstheme="minorBidi"/>
          <w:bCs w:val="0"/>
          <w14:ligatures w14:val="standardContextual"/>
        </w:rPr>
      </w:r>
    </w:p>
    <w:p>
      <w:pPr>
        <w:pStyle w:val="1333"/>
        <w:rPr>
          <w:rFonts w:asciiTheme="minorHAnsi" w:hAnsiTheme="minorHAnsi" w:eastAsiaTheme="minorEastAsia" w:cstheme="minorBidi"/>
          <w:bCs w:val="0"/>
          <w14:ligatures w14:val="standardContextual"/>
        </w:rPr>
      </w:pPr>
      <w:r/>
      <w:hyperlink w:tooltip="#_Toc221869931" w:anchor="_Toc221869931" w:history="1">
        <w:r>
          <w:rPr>
            <w:rStyle w:val="1331"/>
          </w:rPr>
          <w:t xml:space="preserve">5.3.</w:t>
        </w:r>
        <w:r>
          <w:rPr>
            <w:rFonts w:asciiTheme="minorHAnsi" w:hAnsiTheme="minorHAnsi" w:eastAsiaTheme="minorEastAsia" w:cstheme="minorBidi"/>
            <w:bCs w:val="0"/>
            <w14:ligatures w14:val="standardContextual"/>
          </w:rPr>
          <w:tab/>
        </w:r>
        <w:r>
          <w:rPr>
            <w:rStyle w:val="1331"/>
          </w:rPr>
          <w:t xml:space="preserve">Списковая форма</w:t>
        </w:r>
        <w:r>
          <w:tab/>
        </w:r>
        <w:r>
          <w:fldChar w:fldCharType="begin"/>
        </w:r>
        <w:r>
          <w:instrText xml:space="preserve"> PAGEREF _Toc221869931 \h </w:instrText>
        </w:r>
        <w:r/>
        <w:r>
          <w:fldChar w:fldCharType="separate"/>
        </w:r>
        <w:r>
          <w:t xml:space="preserve">115</w:t>
        </w:r>
        <w:r>
          <w:fldChar w:fldCharType="end"/>
        </w:r>
      </w:hyperlink>
      <w:r/>
      <w:r>
        <w:rPr>
          <w:rFonts w:asciiTheme="minorHAnsi" w:hAnsiTheme="minorHAnsi" w:eastAsiaTheme="minorEastAsia" w:cstheme="minorBidi"/>
          <w:bCs w:val="0"/>
          <w14:ligatures w14:val="standardContextual"/>
        </w:rPr>
      </w:r>
    </w:p>
    <w:p>
      <w:pPr>
        <w:pStyle w:val="1333"/>
        <w:rPr>
          <w:rFonts w:asciiTheme="minorHAnsi" w:hAnsiTheme="minorHAnsi" w:eastAsiaTheme="minorEastAsia" w:cstheme="minorBidi"/>
          <w:bCs w:val="0"/>
          <w14:ligatures w14:val="standardContextual"/>
        </w:rPr>
      </w:pPr>
      <w:r/>
      <w:hyperlink w:tooltip="#_Toc221869932" w:anchor="_Toc221869932" w:history="1">
        <w:r>
          <w:rPr>
            <w:rStyle w:val="1331"/>
          </w:rPr>
          <w:t xml:space="preserve">5.4.</w:t>
        </w:r>
        <w:r>
          <w:rPr>
            <w:rFonts w:asciiTheme="minorHAnsi" w:hAnsiTheme="minorHAnsi" w:eastAsiaTheme="minorEastAsia" w:cstheme="minorBidi"/>
            <w:bCs w:val="0"/>
            <w14:ligatures w14:val="standardContextual"/>
          </w:rPr>
          <w:tab/>
        </w:r>
        <w:r>
          <w:rPr>
            <w:rStyle w:val="1331"/>
          </w:rPr>
          <w:t xml:space="preserve">Форма документа</w:t>
        </w:r>
        <w:r>
          <w:tab/>
        </w:r>
        <w:r>
          <w:fldChar w:fldCharType="begin"/>
        </w:r>
        <w:r>
          <w:instrText xml:space="preserve"> PAGEREF _Toc221869932 \h </w:instrText>
        </w:r>
        <w:r/>
        <w:r>
          <w:fldChar w:fldCharType="separate"/>
        </w:r>
        <w:r>
          <w:t xml:space="preserve">117</w:t>
        </w:r>
        <w:r>
          <w:fldChar w:fldCharType="end"/>
        </w:r>
      </w:hyperlink>
      <w:r/>
      <w:r>
        <w:rPr>
          <w:rFonts w:asciiTheme="minorHAnsi" w:hAnsiTheme="minorHAnsi" w:eastAsiaTheme="minorEastAsia" w:cstheme="minorBidi"/>
          <w:bCs w:val="0"/>
          <w14:ligatures w14:val="standardContextual"/>
        </w:rPr>
      </w:r>
    </w:p>
    <w:p>
      <w:pPr>
        <w:pStyle w:val="1332"/>
        <w:rPr>
          <w:rFonts w:asciiTheme="minorHAnsi" w:hAnsiTheme="minorHAnsi" w:eastAsiaTheme="minorEastAsia" w:cstheme="minorBidi"/>
          <w:b w:val="0"/>
          <w:bCs w:val="0"/>
          <w:caps w:val="0"/>
          <w14:ligatures w14:val="standardContextual"/>
        </w:rPr>
      </w:pPr>
      <w:r/>
      <w:hyperlink w:tooltip="#_Toc221869933" w:anchor="_Toc221869933" w:history="1">
        <w:r>
          <w:rPr>
            <w:rStyle w:val="1331"/>
          </w:rPr>
          <w:t xml:space="preserve">6.</w:t>
        </w:r>
        <w:r>
          <w:rPr>
            <w:rFonts w:asciiTheme="minorHAnsi" w:hAnsiTheme="minorHAnsi" w:eastAsiaTheme="minorEastAsia" w:cstheme="minorBidi"/>
            <w:b w:val="0"/>
            <w:bCs w:val="0"/>
            <w:caps w:val="0"/>
            <w14:ligatures w14:val="standardContextual"/>
          </w:rPr>
          <w:tab/>
        </w:r>
        <w:r>
          <w:rPr>
            <w:rStyle w:val="1331"/>
          </w:rPr>
          <w:t xml:space="preserve">Описание действий работника в случае аварийных ситуаций</w:t>
        </w:r>
        <w:r>
          <w:tab/>
        </w:r>
        <w:r>
          <w:fldChar w:fldCharType="begin"/>
        </w:r>
        <w:r>
          <w:instrText xml:space="preserve"> PAGEREF _Toc221869933 \h </w:instrText>
        </w:r>
        <w:r/>
        <w:r>
          <w:fldChar w:fldCharType="separate"/>
        </w:r>
        <w:r>
          <w:t xml:space="preserve">119</w:t>
        </w:r>
        <w:r>
          <w:fldChar w:fldCharType="end"/>
        </w:r>
      </w:hyperlink>
      <w:r/>
      <w:r>
        <w:rPr>
          <w:rFonts w:asciiTheme="minorHAnsi" w:hAnsiTheme="minorHAnsi" w:eastAsiaTheme="minorEastAsia" w:cstheme="minorBidi"/>
          <w:b w:val="0"/>
          <w:bCs w:val="0"/>
          <w:caps w:val="0"/>
          <w14:ligatures w14:val="standardContextual"/>
        </w:rPr>
      </w:r>
    </w:p>
    <w:p>
      <w:pPr>
        <w:pStyle w:val="1333"/>
        <w:rPr>
          <w:rFonts w:asciiTheme="minorHAnsi" w:hAnsiTheme="minorHAnsi" w:eastAsiaTheme="minorEastAsia" w:cstheme="minorBidi"/>
          <w:bCs w:val="0"/>
          <w14:ligatures w14:val="standardContextual"/>
        </w:rPr>
      </w:pPr>
      <w:r/>
      <w:hyperlink w:tooltip="#_Toc221869934" w:anchor="_Toc221869934" w:history="1">
        <w:r>
          <w:rPr>
            <w:rStyle w:val="1331"/>
          </w:rPr>
          <w:t xml:space="preserve">6.1.</w:t>
        </w:r>
        <w:r>
          <w:rPr>
            <w:rFonts w:asciiTheme="minorHAnsi" w:hAnsiTheme="minorHAnsi" w:eastAsiaTheme="minorEastAsia" w:cstheme="minorBidi"/>
            <w:bCs w:val="0"/>
            <w14:ligatures w14:val="standardContextual"/>
          </w:rPr>
          <w:tab/>
        </w:r>
        <w:r>
          <w:rPr>
            <w:rStyle w:val="1331"/>
          </w:rPr>
          <w:t xml:space="preserve">Действия в случае несоблюдения условий выполнения технологического процесса, в том числе при длительных отказах технических средств</w:t>
        </w:r>
        <w:r>
          <w:tab/>
        </w:r>
        <w:r>
          <w:fldChar w:fldCharType="begin"/>
        </w:r>
        <w:r>
          <w:instrText xml:space="preserve"> PAGEREF _Toc221869934 \h </w:instrText>
        </w:r>
        <w:r/>
        <w:r>
          <w:fldChar w:fldCharType="separate"/>
        </w:r>
        <w:r>
          <w:t xml:space="preserve">119</w:t>
        </w:r>
        <w:r>
          <w:fldChar w:fldCharType="end"/>
        </w:r>
      </w:hyperlink>
      <w:r/>
      <w:r>
        <w:rPr>
          <w:rFonts w:asciiTheme="minorHAnsi" w:hAnsiTheme="minorHAnsi" w:eastAsiaTheme="minorEastAsia" w:cstheme="minorBidi"/>
          <w:bCs w:val="0"/>
          <w14:ligatures w14:val="standardContextual"/>
        </w:rPr>
      </w:r>
    </w:p>
    <w:p>
      <w:pPr>
        <w:pStyle w:val="1334"/>
        <w:rPr>
          <w:rFonts w:asciiTheme="minorHAnsi" w:hAnsiTheme="minorHAnsi" w:eastAsiaTheme="minorEastAsia" w:cstheme="minorBidi"/>
          <w:bCs w:val="0"/>
          <w:iCs w:val="0"/>
          <w14:ligatures w14:val="standardContextual"/>
        </w:rPr>
      </w:pPr>
      <w:r/>
      <w:hyperlink w:tooltip="#_Toc221869935" w:anchor="_Toc221869935" w:history="1">
        <w:r>
          <w:rPr>
            <w:rStyle w:val="1331"/>
          </w:rPr>
          <w:t xml:space="preserve">6.1.1.</w:t>
        </w:r>
        <w:r>
          <w:rPr>
            <w:rFonts w:asciiTheme="minorHAnsi" w:hAnsiTheme="minorHAnsi" w:eastAsiaTheme="minorEastAsia" w:cstheme="minorBidi"/>
            <w:bCs w:val="0"/>
            <w:iCs w:val="0"/>
            <w14:ligatures w14:val="standardContextual"/>
          </w:rPr>
          <w:tab/>
        </w:r>
        <w:r>
          <w:rPr>
            <w:rStyle w:val="1331"/>
          </w:rPr>
          <w:t xml:space="preserve">Действия Пользователя в случае появления ошибок при выполнении операций, описанных в разделе 4 «Описание последовательности действий работника»</w:t>
        </w:r>
        <w:r>
          <w:tab/>
        </w:r>
        <w:r>
          <w:fldChar w:fldCharType="begin"/>
        </w:r>
        <w:r>
          <w:instrText xml:space="preserve"> PAGEREF _Toc221869935 \h </w:instrText>
        </w:r>
        <w:r/>
        <w:r>
          <w:fldChar w:fldCharType="separate"/>
        </w:r>
        <w:r>
          <w:t xml:space="preserve">119</w:t>
        </w:r>
        <w:r>
          <w:fldChar w:fldCharType="end"/>
        </w:r>
      </w:hyperlink>
      <w:r/>
      <w:r>
        <w:rPr>
          <w:rFonts w:asciiTheme="minorHAnsi" w:hAnsiTheme="minorHAnsi" w:eastAsiaTheme="minorEastAsia" w:cstheme="minorBidi"/>
          <w:bCs w:val="0"/>
          <w:iCs w:val="0"/>
          <w14:ligatures w14:val="standardContextual"/>
        </w:rPr>
      </w:r>
    </w:p>
    <w:p>
      <w:pPr>
        <w:pStyle w:val="1334"/>
        <w:rPr>
          <w:rFonts w:asciiTheme="minorHAnsi" w:hAnsiTheme="minorHAnsi" w:eastAsiaTheme="minorEastAsia" w:cstheme="minorBidi"/>
          <w:bCs w:val="0"/>
          <w:iCs w:val="0"/>
          <w14:ligatures w14:val="standardContextual"/>
        </w:rPr>
      </w:pPr>
      <w:r/>
      <w:hyperlink w:tooltip="#_Toc221869936" w:anchor="_Toc221869936" w:history="1">
        <w:r>
          <w:rPr>
            <w:rStyle w:val="1331"/>
          </w:rPr>
          <w:t xml:space="preserve">6.1.2.</w:t>
        </w:r>
        <w:r>
          <w:rPr>
            <w:rFonts w:asciiTheme="minorHAnsi" w:hAnsiTheme="minorHAnsi" w:eastAsiaTheme="minorEastAsia" w:cstheme="minorBidi"/>
            <w:bCs w:val="0"/>
            <w:iCs w:val="0"/>
            <w14:ligatures w14:val="standardContextual"/>
          </w:rPr>
          <w:tab/>
        </w:r>
        <w:r>
          <w:rPr>
            <w:rStyle w:val="1331"/>
          </w:rPr>
          <w:t xml:space="preserve">Действия пользователя в случае появления ошибок, не вызванных действиями пользователя</w:t>
        </w:r>
        <w:r>
          <w:tab/>
        </w:r>
        <w:r>
          <w:fldChar w:fldCharType="begin"/>
        </w:r>
        <w:r>
          <w:instrText xml:space="preserve"> PAGEREF _Toc221869936 \h </w:instrText>
        </w:r>
        <w:r/>
        <w:r>
          <w:fldChar w:fldCharType="separate"/>
        </w:r>
        <w:r>
          <w:t xml:space="preserve">120</w:t>
        </w:r>
        <w:r>
          <w:fldChar w:fldCharType="end"/>
        </w:r>
      </w:hyperlink>
      <w:r/>
      <w:r>
        <w:rPr>
          <w:rFonts w:asciiTheme="minorHAnsi" w:hAnsiTheme="minorHAnsi" w:eastAsiaTheme="minorEastAsia" w:cstheme="minorBidi"/>
          <w:bCs w:val="0"/>
          <w:iCs w:val="0"/>
          <w14:ligatures w14:val="standardContextual"/>
        </w:rPr>
      </w:r>
    </w:p>
    <w:p>
      <w:pPr>
        <w:pStyle w:val="1333"/>
        <w:rPr>
          <w:rFonts w:asciiTheme="minorHAnsi" w:hAnsiTheme="minorHAnsi" w:eastAsiaTheme="minorEastAsia" w:cstheme="minorBidi"/>
          <w:bCs w:val="0"/>
          <w14:ligatures w14:val="standardContextual"/>
        </w:rPr>
      </w:pPr>
      <w:r/>
      <w:hyperlink w:tooltip="#_Toc221869937" w:anchor="_Toc221869937" w:history="1">
        <w:r>
          <w:rPr>
            <w:rStyle w:val="1331"/>
          </w:rPr>
          <w:t xml:space="preserve">6.2.</w:t>
        </w:r>
        <w:r>
          <w:rPr>
            <w:rFonts w:asciiTheme="minorHAnsi" w:hAnsiTheme="minorHAnsi" w:eastAsiaTheme="minorEastAsia" w:cstheme="minorBidi"/>
            <w:bCs w:val="0"/>
            <w14:ligatures w14:val="standardContextual"/>
          </w:rPr>
          <w:tab/>
        </w:r>
        <w:r>
          <w:rPr>
            <w:rStyle w:val="1331"/>
          </w:rPr>
          <w:t xml:space="preserve">Действия в случае отказа работы Системы</w:t>
        </w:r>
        <w:r>
          <w:tab/>
        </w:r>
        <w:r>
          <w:fldChar w:fldCharType="begin"/>
        </w:r>
        <w:r>
          <w:instrText xml:space="preserve"> PAGEREF _Toc221869937 \h </w:instrText>
        </w:r>
        <w:r/>
        <w:r>
          <w:fldChar w:fldCharType="separate"/>
        </w:r>
        <w:r>
          <w:t xml:space="preserve">120</w:t>
        </w:r>
        <w:r>
          <w:fldChar w:fldCharType="end"/>
        </w:r>
      </w:hyperlink>
      <w:r/>
      <w:r>
        <w:rPr>
          <w:rFonts w:asciiTheme="minorHAnsi" w:hAnsiTheme="minorHAnsi" w:eastAsiaTheme="minorEastAsia" w:cstheme="minorBidi"/>
          <w:bCs w:val="0"/>
          <w14:ligatures w14:val="standardContextual"/>
        </w:rPr>
      </w:r>
    </w:p>
    <w:p>
      <w:pPr>
        <w:pStyle w:val="1332"/>
        <w:tabs>
          <w:tab w:val="left" w:pos="2410" w:leader="none"/>
        </w:tabs>
        <w:rPr>
          <w:rFonts w:asciiTheme="minorHAnsi" w:hAnsiTheme="minorHAnsi" w:eastAsiaTheme="minorEastAsia" w:cstheme="minorBidi"/>
          <w:b w:val="0"/>
          <w:bCs w:val="0"/>
          <w:caps w:val="0"/>
          <w14:ligatures w14:val="standardContextual"/>
        </w:rPr>
      </w:pPr>
      <w:r/>
      <w:hyperlink w:tooltip="#_Toc221869938" w:anchor="_Toc221869938" w:history="1">
        <w:r>
          <w:rPr>
            <w:rStyle w:val="1331"/>
          </w:rPr>
          <w:t xml:space="preserve">Приложение</w:t>
        </w:r>
        <w:r>
          <w:rPr>
            <w:rFonts w:asciiTheme="minorHAnsi" w:hAnsiTheme="minorHAnsi" w:eastAsiaTheme="minorEastAsia" w:cstheme="minorBidi"/>
            <w:b w:val="0"/>
            <w:bCs w:val="0"/>
            <w:caps w:val="0"/>
            <w14:ligatures w14:val="standardContextual"/>
          </w:rPr>
          <w:tab/>
        </w:r>
        <w:r>
          <w:rPr>
            <w:rStyle w:val="1331"/>
          </w:rPr>
          <w:t xml:space="preserve">1. Схемы взаимодействия клиентов и ТОФК</w:t>
        </w:r>
        <w:r>
          <w:tab/>
        </w:r>
        <w:r>
          <w:fldChar w:fldCharType="begin"/>
        </w:r>
        <w:r>
          <w:instrText xml:space="preserve"> PAGEREF _Toc221869938 \h </w:instrText>
        </w:r>
        <w:r/>
        <w:r>
          <w:fldChar w:fldCharType="separate"/>
        </w:r>
        <w:r>
          <w:t xml:space="preserve">124</w:t>
        </w:r>
        <w:r>
          <w:fldChar w:fldCharType="end"/>
        </w:r>
      </w:hyperlink>
      <w:r/>
      <w:r>
        <w:rPr>
          <w:rFonts w:asciiTheme="minorHAnsi" w:hAnsiTheme="minorHAnsi" w:eastAsiaTheme="minorEastAsia" w:cstheme="minorBidi"/>
          <w:b w:val="0"/>
          <w:bCs w:val="0"/>
          <w:caps w:val="0"/>
          <w14:ligatures w14:val="standardContextual"/>
        </w:rPr>
      </w:r>
    </w:p>
    <w:p>
      <w:pPr>
        <w:pStyle w:val="1332"/>
        <w:tabs>
          <w:tab w:val="left" w:pos="2410" w:leader="none"/>
        </w:tabs>
        <w:rPr>
          <w:rFonts w:asciiTheme="minorHAnsi" w:hAnsiTheme="minorHAnsi" w:eastAsiaTheme="minorEastAsia" w:cstheme="minorBidi"/>
          <w:b w:val="0"/>
          <w:bCs w:val="0"/>
          <w:caps w:val="0"/>
          <w14:ligatures w14:val="standardContextual"/>
        </w:rPr>
      </w:pPr>
      <w:r/>
      <w:hyperlink w:tooltip="#_Toc221869939" w:anchor="_Toc221869939" w:history="1">
        <w:r>
          <w:rPr>
            <w:rStyle w:val="1331"/>
          </w:rPr>
          <w:t xml:space="preserve">Приложение</w:t>
        </w:r>
        <w:r>
          <w:rPr>
            <w:rFonts w:asciiTheme="minorHAnsi" w:hAnsiTheme="minorHAnsi" w:eastAsiaTheme="minorEastAsia" w:cstheme="minorBidi"/>
            <w:b w:val="0"/>
            <w:bCs w:val="0"/>
            <w:caps w:val="0"/>
            <w14:ligatures w14:val="standardContextual"/>
          </w:rPr>
          <w:tab/>
        </w:r>
        <w:r>
          <w:rPr>
            <w:rStyle w:val="1331"/>
          </w:rPr>
          <w:t xml:space="preserve">2. Схемы привязки «Платежный центр – Центр специализации – ТОФК»</w:t>
        </w:r>
        <w:r>
          <w:tab/>
        </w:r>
        <w:r>
          <w:fldChar w:fldCharType="begin"/>
        </w:r>
        <w:r>
          <w:instrText xml:space="preserve"> PAGEREF _Toc221869939 \h </w:instrText>
        </w:r>
        <w:r/>
        <w:r>
          <w:fldChar w:fldCharType="separate"/>
        </w:r>
        <w:r>
          <w:t xml:space="preserve">128</w:t>
        </w:r>
        <w:r>
          <w:fldChar w:fldCharType="end"/>
        </w:r>
      </w:hyperlink>
      <w:r/>
      <w:r>
        <w:rPr>
          <w:rFonts w:asciiTheme="minorHAnsi" w:hAnsiTheme="minorHAnsi" w:eastAsiaTheme="minorEastAsia" w:cstheme="minorBidi"/>
          <w:b w:val="0"/>
          <w:bCs w:val="0"/>
          <w:caps w:val="0"/>
          <w14:ligatures w14:val="standardContextual"/>
        </w:rPr>
      </w:r>
    </w:p>
    <w:p>
      <w:pPr>
        <w:pStyle w:val="1332"/>
        <w:rPr>
          <w:rFonts w:asciiTheme="minorHAnsi" w:hAnsiTheme="minorHAnsi" w:eastAsiaTheme="minorEastAsia" w:cstheme="minorBidi"/>
          <w:b w:val="0"/>
          <w:bCs w:val="0"/>
          <w:caps w:val="0"/>
          <w14:ligatures w14:val="standardContextual"/>
        </w:rPr>
      </w:pPr>
      <w:r/>
      <w:hyperlink w:tooltip="#_Toc221869940" w:anchor="_Toc221869940" w:history="1">
        <w:r>
          <w:rPr>
            <w:rStyle w:val="1331"/>
          </w:rPr>
          <w:t xml:space="preserve">СОГЛАСОВАНО</w:t>
        </w:r>
        <w:r>
          <w:tab/>
        </w:r>
        <w:r>
          <w:fldChar w:fldCharType="begin"/>
        </w:r>
        <w:r>
          <w:instrText xml:space="preserve"> PAGEREF _Toc221869940 \h </w:instrText>
        </w:r>
        <w:r/>
        <w:r>
          <w:fldChar w:fldCharType="separate"/>
        </w:r>
        <w:r>
          <w:t xml:space="preserve">130</w:t>
        </w:r>
        <w:r>
          <w:fldChar w:fldCharType="end"/>
        </w:r>
      </w:hyperlink>
      <w:r/>
      <w:r>
        <w:rPr>
          <w:rFonts w:asciiTheme="minorHAnsi" w:hAnsiTheme="minorHAnsi" w:eastAsiaTheme="minorEastAsia" w:cstheme="minorBidi"/>
          <w:b w:val="0"/>
          <w:bCs w:val="0"/>
          <w:caps w:val="0"/>
          <w14:ligatures w14:val="standardContextual"/>
        </w:rPr>
      </w:r>
    </w:p>
    <w:p>
      <w:pPr>
        <w:pStyle w:val="1332"/>
        <w:rPr>
          <w:rFonts w:asciiTheme="minorHAnsi" w:hAnsiTheme="minorHAnsi" w:eastAsiaTheme="minorEastAsia" w:cstheme="minorBidi"/>
          <w:b w:val="0"/>
          <w:bCs w:val="0"/>
          <w:caps w:val="0"/>
          <w14:ligatures w14:val="standardContextual"/>
        </w:rPr>
      </w:pPr>
      <w:r/>
      <w:hyperlink w:tooltip="#_Toc221869941" w:anchor="_Toc221869941" w:history="1">
        <w:r>
          <w:rPr>
            <w:rStyle w:val="1331"/>
          </w:rPr>
          <w:t xml:space="preserve">ЛИСТ РЕГИСТРАЦИИ ИЗМЕНЕНИЙ</w:t>
        </w:r>
        <w:r>
          <w:tab/>
        </w:r>
        <w:r>
          <w:fldChar w:fldCharType="begin"/>
        </w:r>
        <w:r>
          <w:instrText xml:space="preserve"> PAGEREF _Toc221869941 \h </w:instrText>
        </w:r>
        <w:r/>
        <w:r>
          <w:fldChar w:fldCharType="separate"/>
        </w:r>
        <w:r>
          <w:t xml:space="preserve">131</w:t>
        </w:r>
        <w:r>
          <w:fldChar w:fldCharType="end"/>
        </w:r>
      </w:hyperlink>
      <w:r/>
      <w:r>
        <w:rPr>
          <w:rFonts w:asciiTheme="minorHAnsi" w:hAnsiTheme="minorHAnsi" w:eastAsiaTheme="minorEastAsia" w:cstheme="minorBidi"/>
          <w:b w:val="0"/>
          <w:bCs w:val="0"/>
          <w:caps w:val="0"/>
          <w14:ligatures w14:val="standardContextual"/>
        </w:rPr>
      </w:r>
    </w:p>
    <w:p>
      <w:pPr>
        <w:pStyle w:val="1309"/>
      </w:pPr>
      <w:r>
        <w:rPr>
          <w:bCs/>
          <w:szCs w:val="24"/>
        </w:rPr>
        <w:fldChar w:fldCharType="end"/>
      </w:r>
      <w:bookmarkStart w:id="5" w:name="_Toc221869875"/>
      <w:r/>
      <w:bookmarkEnd w:id="4"/>
      <w:r>
        <w:t xml:space="preserve">Перечень таблиц</w:t>
      </w:r>
      <w:bookmarkEnd w:id="5"/>
      <w:r/>
      <w:r/>
    </w:p>
    <w:p>
      <w:pPr>
        <w:pStyle w:val="1463"/>
        <w:rPr>
          <w:rFonts w:asciiTheme="minorHAnsi" w:hAnsiTheme="minorHAnsi" w:eastAsiaTheme="minorEastAsia" w:cstheme="minorBidi"/>
          <w:szCs w:val="24"/>
          <w14:ligatures w14:val="standardContextual"/>
        </w:rPr>
      </w:pPr>
      <w:r>
        <w:fldChar w:fldCharType="begin"/>
      </w:r>
      <w:r>
        <w:instrText xml:space="preserve"> TOC \f T \h \z \t "_GOST_Name_Table" \c "Таблица" </w:instrText>
      </w:r>
      <w:r>
        <w:fldChar w:fldCharType="separate"/>
      </w:r>
      <w:hyperlink w:tooltip="#_Toc221869942" w:anchor="_Toc221869942" w:history="1">
        <w:r>
          <w:rPr>
            <w:rStyle w:val="1331"/>
          </w:rPr>
          <w:t xml:space="preserve">Таблица </w:t>
        </w:r>
        <w:r>
          <w:rPr>
            <w:rFonts w:asciiTheme="minorHAnsi" w:hAnsiTheme="minorHAnsi" w:eastAsiaTheme="minorEastAsia" w:cstheme="minorBidi"/>
            <w:szCs w:val="24"/>
            <w14:ligatures w14:val="standardContextual"/>
          </w:rPr>
          <w:tab/>
        </w:r>
        <w:r>
          <w:rPr>
            <w:rStyle w:val="1331"/>
          </w:rPr>
          <w:t xml:space="preserve">1. Список терминов и сокращений</w:t>
        </w:r>
        <w:r>
          <w:tab/>
        </w:r>
        <w:r>
          <w:fldChar w:fldCharType="begin"/>
        </w:r>
        <w:r>
          <w:instrText xml:space="preserve"> PAGEREF _Toc221869942 \h </w:instrText>
        </w:r>
        <w:r/>
        <w:r>
          <w:fldChar w:fldCharType="separate"/>
        </w:r>
        <w:r>
          <w:t xml:space="preserve">9</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43" w:anchor="_Toc221869943" w:history="1">
        <w:r>
          <w:rPr>
            <w:rStyle w:val="1331"/>
          </w:rPr>
          <w:t xml:space="preserve">Таблица </w:t>
        </w:r>
        <w:r>
          <w:rPr>
            <w:rFonts w:asciiTheme="minorHAnsi" w:hAnsiTheme="minorHAnsi" w:eastAsiaTheme="minorEastAsia" w:cstheme="minorBidi"/>
            <w:szCs w:val="24"/>
            <w14:ligatures w14:val="standardContextual"/>
          </w:rPr>
          <w:tab/>
        </w:r>
        <w:r>
          <w:rPr>
            <w:rStyle w:val="1331"/>
          </w:rPr>
          <w:t xml:space="preserve">2. Описание функциональных ролей, выполняемых пользователями</w:t>
        </w:r>
        <w:r>
          <w:tab/>
        </w:r>
        <w:r>
          <w:fldChar w:fldCharType="begin"/>
        </w:r>
        <w:r>
          <w:instrText xml:space="preserve"> PAGEREF _Toc221869943 \h </w:instrText>
        </w:r>
        <w:r/>
        <w:r>
          <w:fldChar w:fldCharType="separate"/>
        </w:r>
        <w:r>
          <w:t xml:space="preserve">15</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44" w:anchor="_Toc221869944" w:history="1">
        <w:r>
          <w:rPr>
            <w:rStyle w:val="1331"/>
          </w:rPr>
          <w:t xml:space="preserve">Таблица </w:t>
        </w:r>
        <w:r>
          <w:rPr>
            <w:rFonts w:asciiTheme="minorHAnsi" w:hAnsiTheme="minorHAnsi" w:eastAsiaTheme="minorEastAsia" w:cstheme="minorBidi"/>
            <w:szCs w:val="24"/>
            <w14:ligatures w14:val="standardContextual"/>
          </w:rPr>
          <w:tab/>
        </w:r>
        <w:r>
          <w:rPr>
            <w:rStyle w:val="1331"/>
          </w:rPr>
          <w:t xml:space="preserve">3. Функции Модуля ведения ЛС НСИ ЭБ в разрезе структурных модулей</w:t>
        </w:r>
        <w:r>
          <w:tab/>
        </w:r>
        <w:r>
          <w:fldChar w:fldCharType="begin"/>
        </w:r>
        <w:r>
          <w:instrText xml:space="preserve"> PAGEREF _Toc221869944 \h </w:instrText>
        </w:r>
        <w:r/>
        <w:r>
          <w:fldChar w:fldCharType="separate"/>
        </w:r>
        <w:r>
          <w:t xml:space="preserve">23</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45" w:anchor="_Toc221869945" w:history="1">
        <w:r>
          <w:rPr>
            <w:rStyle w:val="1331"/>
          </w:rPr>
          <w:t xml:space="preserve">Таблица </w:t>
        </w:r>
        <w:r>
          <w:rPr>
            <w:rFonts w:asciiTheme="minorHAnsi" w:hAnsiTheme="minorHAnsi" w:eastAsiaTheme="minorEastAsia" w:cstheme="minorBidi"/>
            <w:szCs w:val="24"/>
            <w14:ligatures w14:val="standardContextual"/>
          </w:rPr>
          <w:tab/>
        </w:r>
        <w:r>
          <w:rPr>
            <w:rStyle w:val="1331"/>
          </w:rPr>
          <w:t xml:space="preserve">4. Реквизитный состав записи справочника «Книга регистрации лицевых счетов»</w:t>
        </w:r>
        <w:r>
          <w:tab/>
        </w:r>
        <w:r>
          <w:fldChar w:fldCharType="begin"/>
        </w:r>
        <w:r>
          <w:instrText xml:space="preserve"> PAGEREF _Toc221869945 \h </w:instrText>
        </w:r>
        <w:r/>
        <w:r>
          <w:fldChar w:fldCharType="separate"/>
        </w:r>
        <w:r>
          <w:t xml:space="preserve">32</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46" w:anchor="_Toc221869946" w:history="1">
        <w:r>
          <w:rPr>
            <w:rStyle w:val="1331"/>
          </w:rPr>
          <w:t xml:space="preserve">Таблица </w:t>
        </w:r>
        <w:r>
          <w:rPr>
            <w:rFonts w:asciiTheme="minorHAnsi" w:hAnsiTheme="minorHAnsi" w:eastAsiaTheme="minorEastAsia" w:cstheme="minorBidi"/>
            <w:szCs w:val="24"/>
            <w14:ligatures w14:val="standardContextual"/>
          </w:rPr>
          <w:tab/>
        </w:r>
        <w:r>
          <w:rPr>
            <w:rStyle w:val="1331"/>
          </w:rPr>
          <w:t xml:space="preserve">5. Реквизитный состав записи формуляра «Заявление на изменение справочника «Книги регистрации лицевых счетов»</w:t>
        </w:r>
        <w:r>
          <w:tab/>
        </w:r>
        <w:r>
          <w:fldChar w:fldCharType="begin"/>
        </w:r>
        <w:r>
          <w:instrText xml:space="preserve"> PAGEREF _Toc221869946 \h </w:instrText>
        </w:r>
        <w:r/>
        <w:r>
          <w:fldChar w:fldCharType="separate"/>
        </w:r>
        <w:r>
          <w:t xml:space="preserve">43</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47" w:anchor="_Toc221869947" w:history="1">
        <w:r>
          <w:rPr>
            <w:rStyle w:val="1331"/>
          </w:rPr>
          <w:t xml:space="preserve">Таблица </w:t>
        </w:r>
        <w:r>
          <w:rPr>
            <w:rFonts w:asciiTheme="minorHAnsi" w:hAnsiTheme="minorHAnsi" w:eastAsiaTheme="minorEastAsia" w:cstheme="minorBidi"/>
            <w:szCs w:val="24"/>
            <w14:ligatures w14:val="standardContextual"/>
          </w:rPr>
          <w:tab/>
        </w:r>
        <w:r>
          <w:rPr>
            <w:rStyle w:val="1331"/>
          </w:rPr>
          <w:t xml:space="preserve">6. Сведения о форме записи формуляра «Уведомление при открытии лицевого счета при казначейском сопровождении средств»</w:t>
        </w:r>
        <w:r>
          <w:tab/>
        </w:r>
        <w:r>
          <w:fldChar w:fldCharType="begin"/>
        </w:r>
        <w:r>
          <w:instrText xml:space="preserve"> PAGEREF _Toc221869947 \h </w:instrText>
        </w:r>
        <w:r/>
        <w:r>
          <w:fldChar w:fldCharType="separate"/>
        </w:r>
        <w:r>
          <w:t xml:space="preserve">95</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48" w:anchor="_Toc221869948" w:history="1">
        <w:r>
          <w:rPr>
            <w:rStyle w:val="1331"/>
          </w:rPr>
          <w:t xml:space="preserve">Таблица </w:t>
        </w:r>
        <w:r>
          <w:rPr>
            <w:rFonts w:asciiTheme="minorHAnsi" w:hAnsiTheme="minorHAnsi" w:eastAsiaTheme="minorEastAsia" w:cstheme="minorBidi"/>
            <w:szCs w:val="24"/>
            <w14:ligatures w14:val="standardContextual"/>
          </w:rPr>
          <w:tab/>
        </w:r>
        <w:r>
          <w:rPr>
            <w:rStyle w:val="1331"/>
          </w:rPr>
          <w:t xml:space="preserve">7. Реквизитный состав записи справочника «Типы документов-оснований»</w:t>
        </w:r>
        <w:r>
          <w:tab/>
        </w:r>
        <w:r>
          <w:fldChar w:fldCharType="begin"/>
        </w:r>
        <w:r>
          <w:instrText xml:space="preserve"> PAGEREF _Toc221869948 \h </w:instrText>
        </w:r>
        <w:r/>
        <w:r>
          <w:fldChar w:fldCharType="separate"/>
        </w:r>
        <w:r>
          <w:t xml:space="preserve">109</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49" w:anchor="_Toc221869949" w:history="1">
        <w:r>
          <w:rPr>
            <w:rStyle w:val="1331"/>
          </w:rPr>
          <w:t xml:space="preserve">Таблица </w:t>
        </w:r>
        <w:r>
          <w:rPr>
            <w:rFonts w:asciiTheme="minorHAnsi" w:hAnsiTheme="minorHAnsi" w:eastAsiaTheme="minorEastAsia" w:cstheme="minorBidi"/>
            <w:szCs w:val="24"/>
            <w14:ligatures w14:val="standardContextual"/>
          </w:rPr>
          <w:tab/>
        </w:r>
        <w:r>
          <w:rPr>
            <w:rStyle w:val="1331"/>
          </w:rPr>
          <w:t xml:space="preserve">8. Реквизитный состав записи справочника «Электронная карточка образцов подписей»</w:t>
        </w:r>
        <w:r>
          <w:tab/>
        </w:r>
        <w:r>
          <w:fldChar w:fldCharType="begin"/>
        </w:r>
        <w:r>
          <w:instrText xml:space="preserve"> PAGEREF _Toc221869949 \h </w:instrText>
        </w:r>
        <w:r/>
        <w:r>
          <w:fldChar w:fldCharType="separate"/>
        </w:r>
        <w:r>
          <w:t xml:space="preserve">112</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50" w:anchor="_Toc221869950" w:history="1">
        <w:r>
          <w:rPr>
            <w:rStyle w:val="1331"/>
          </w:rPr>
          <w:t xml:space="preserve">Таблица </w:t>
        </w:r>
        <w:r>
          <w:rPr>
            <w:rFonts w:asciiTheme="minorHAnsi" w:hAnsiTheme="minorHAnsi" w:eastAsiaTheme="minorEastAsia" w:cstheme="minorBidi"/>
            <w:szCs w:val="24"/>
            <w14:ligatures w14:val="standardContextual"/>
          </w:rPr>
          <w:tab/>
        </w:r>
        <w:r>
          <w:rPr>
            <w:rStyle w:val="1331"/>
          </w:rPr>
          <w:t xml:space="preserve">9. Описание функциональных кнопок</w:t>
        </w:r>
        <w:r>
          <w:tab/>
        </w:r>
        <w:r>
          <w:fldChar w:fldCharType="begin"/>
        </w:r>
        <w:r>
          <w:instrText xml:space="preserve"> PAGEREF _Toc221869950 \h </w:instrText>
        </w:r>
        <w:r/>
        <w:r>
          <w:fldChar w:fldCharType="separate"/>
        </w:r>
        <w:r>
          <w:t xml:space="preserve">113</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51" w:anchor="_Toc221869951" w:history="1">
        <w:r>
          <w:rPr>
            <w:rStyle w:val="1331"/>
          </w:rPr>
          <w:t xml:space="preserve">Таблица </w:t>
        </w:r>
        <w:r>
          <w:rPr>
            <w:rFonts w:asciiTheme="minorHAnsi" w:hAnsiTheme="minorHAnsi" w:eastAsiaTheme="minorEastAsia" w:cstheme="minorBidi"/>
            <w:szCs w:val="24"/>
            <w14:ligatures w14:val="standardContextual"/>
          </w:rPr>
          <w:tab/>
        </w:r>
        <w:r>
          <w:rPr>
            <w:rStyle w:val="1331"/>
          </w:rPr>
          <w:t xml:space="preserve">10. Описание полей формы «Информация о документе»</w:t>
        </w:r>
        <w:r>
          <w:tab/>
        </w:r>
        <w:r>
          <w:fldChar w:fldCharType="begin"/>
        </w:r>
        <w:r>
          <w:instrText xml:space="preserve"> PAGEREF _Toc221869951 \h </w:instrText>
        </w:r>
        <w:r/>
        <w:r>
          <w:fldChar w:fldCharType="separate"/>
        </w:r>
        <w:r>
          <w:t xml:space="preserve">118</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52" w:anchor="_Toc221869952" w:history="1">
        <w:r>
          <w:rPr>
            <w:rStyle w:val="1331"/>
          </w:rPr>
          <w:t xml:space="preserve">Таблица </w:t>
        </w:r>
        <w:r>
          <w:rPr>
            <w:rFonts w:asciiTheme="minorHAnsi" w:hAnsiTheme="minorHAnsi" w:eastAsiaTheme="minorEastAsia" w:cstheme="minorBidi"/>
            <w:szCs w:val="24"/>
            <w14:ligatures w14:val="standardContextual"/>
          </w:rPr>
          <w:tab/>
        </w:r>
        <w:r>
          <w:rPr>
            <w:rStyle w:val="1331"/>
          </w:rPr>
          <w:t xml:space="preserve">11. Действия Пользователя в случае появления ошибок при выполнении операций</w:t>
        </w:r>
        <w:r>
          <w:tab/>
        </w:r>
        <w:r>
          <w:fldChar w:fldCharType="begin"/>
        </w:r>
        <w:r>
          <w:instrText xml:space="preserve"> PAGEREF _Toc221869952 \h </w:instrText>
        </w:r>
        <w:r/>
        <w:r>
          <w:fldChar w:fldCharType="separate"/>
        </w:r>
        <w:r>
          <w:t xml:space="preserve">119</w:t>
        </w:r>
        <w:r>
          <w:fldChar w:fldCharType="end"/>
        </w:r>
      </w:hyperlink>
      <w:r/>
      <w:r>
        <w:rPr>
          <w:rFonts w:asciiTheme="minorHAnsi" w:hAnsiTheme="minorHAnsi" w:eastAsiaTheme="minorEastAsia" w:cstheme="minorBidi"/>
          <w:szCs w:val="24"/>
          <w14:ligatures w14:val="standardContextual"/>
        </w:rPr>
      </w:r>
    </w:p>
    <w:p>
      <w:pPr>
        <w:pStyle w:val="1305"/>
      </w:pPr>
      <w:r>
        <w:fldChar w:fldCharType="end"/>
      </w:r>
      <w:r/>
    </w:p>
    <w:p>
      <w:pPr>
        <w:pStyle w:val="1309"/>
      </w:pPr>
      <w:r/>
      <w:bookmarkStart w:id="6" w:name="_Toc221869876"/>
      <w:r>
        <w:t xml:space="preserve">Перечень рисунков</w:t>
      </w:r>
      <w:bookmarkEnd w:id="6"/>
      <w:r/>
      <w:r/>
    </w:p>
    <w:p>
      <w:pPr>
        <w:pStyle w:val="1463"/>
        <w:rPr>
          <w:rFonts w:asciiTheme="minorHAnsi" w:hAnsiTheme="minorHAnsi" w:eastAsiaTheme="minorEastAsia" w:cstheme="minorBidi"/>
          <w:szCs w:val="24"/>
          <w14:ligatures w14:val="standardContextual"/>
        </w:rPr>
      </w:pPr>
      <w:r>
        <w:fldChar w:fldCharType="begin"/>
      </w:r>
      <w:r>
        <w:instrText xml:space="preserve"> TOC \h \z \t "_GOST_Fig_Name" \c "Рисунок" </w:instrText>
      </w:r>
      <w:r>
        <w:fldChar w:fldCharType="separate"/>
      </w:r>
      <w:hyperlink w:tooltip="#_Toc221869953" w:anchor="_Toc221869953"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1. Вход в личный кабинет системы «Электронный бюджет»</w:t>
        </w:r>
        <w:r>
          <w:tab/>
        </w:r>
        <w:r>
          <w:fldChar w:fldCharType="begin"/>
        </w:r>
        <w:r>
          <w:instrText xml:space="preserve"> PAGEREF _Toc221869953 \h </w:instrText>
        </w:r>
        <w:r/>
        <w:r>
          <w:fldChar w:fldCharType="separate"/>
        </w:r>
        <w:r>
          <w:t xml:space="preserve">27</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54" w:anchor="_Toc221869954"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2. Страница входа в Личный кабинет системы Электронный бюджет</w:t>
        </w:r>
        <w:r>
          <w:tab/>
        </w:r>
        <w:r>
          <w:fldChar w:fldCharType="begin"/>
        </w:r>
        <w:r>
          <w:instrText xml:space="preserve"> PAGEREF _Toc221869954 \h </w:instrText>
        </w:r>
        <w:r/>
        <w:r>
          <w:fldChar w:fldCharType="separate"/>
        </w:r>
        <w:r>
          <w:t xml:space="preserve">27</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55" w:anchor="_Toc221869955" w:history="1">
        <w:r>
          <w:rPr>
            <w:rStyle w:val="1331"/>
            <w:rFonts w:eastAsia="Calibri"/>
          </w:rPr>
          <w:t xml:space="preserve">Рисунок </w:t>
        </w:r>
        <w:r>
          <w:rPr>
            <w:rFonts w:asciiTheme="minorHAnsi" w:hAnsiTheme="minorHAnsi" w:eastAsiaTheme="minorEastAsia" w:cstheme="minorBidi"/>
            <w:szCs w:val="24"/>
            <w14:ligatures w14:val="standardContextual"/>
          </w:rPr>
          <w:tab/>
        </w:r>
        <w:r>
          <w:rPr>
            <w:rStyle w:val="1331"/>
          </w:rPr>
          <w:t xml:space="preserve">3. Диалог выбора сертификата пользователя</w:t>
        </w:r>
        <w:r>
          <w:tab/>
        </w:r>
        <w:r>
          <w:fldChar w:fldCharType="begin"/>
        </w:r>
        <w:r>
          <w:instrText xml:space="preserve"> PAGEREF _Toc221869955 \h </w:instrText>
        </w:r>
        <w:r/>
        <w:r>
          <w:fldChar w:fldCharType="separate"/>
        </w:r>
        <w:r>
          <w:t xml:space="preserve">28</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56" w:anchor="_Toc221869956"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4. Главное окно системы «Электронный бюджет»</w:t>
        </w:r>
        <w:r>
          <w:tab/>
        </w:r>
        <w:r>
          <w:fldChar w:fldCharType="begin"/>
        </w:r>
        <w:r>
          <w:instrText xml:space="preserve"> PAGEREF _Toc221869956 \h </w:instrText>
        </w:r>
        <w:r/>
        <w:r>
          <w:fldChar w:fldCharType="separate"/>
        </w:r>
        <w:r>
          <w:t xml:space="preserve">28</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57" w:anchor="_Toc221869957"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5. Списковая форма справочник «Книга регистрации лицевых счетов»</w:t>
        </w:r>
        <w:r>
          <w:tab/>
        </w:r>
        <w:r>
          <w:fldChar w:fldCharType="begin"/>
        </w:r>
        <w:r>
          <w:instrText xml:space="preserve"> PAGEREF _Toc221869957 \h </w:instrText>
        </w:r>
        <w:r/>
        <w:r>
          <w:fldChar w:fldCharType="separate"/>
        </w:r>
        <w:r>
          <w:t xml:space="preserve">29</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58" w:anchor="_Toc221869958"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6. Визуальная форма записи справочника «Книга регистрации лицевых счетов» – Вкладка «Основная информация»</w:t>
        </w:r>
        <w:r>
          <w:tab/>
        </w:r>
        <w:r>
          <w:fldChar w:fldCharType="begin"/>
        </w:r>
        <w:r>
          <w:instrText xml:space="preserve"> PAGEREF _Toc221869958 \h </w:instrText>
        </w:r>
        <w:r/>
        <w:r>
          <w:fldChar w:fldCharType="separate"/>
        </w:r>
        <w:r>
          <w:t xml:space="preserve">30</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59" w:anchor="_Toc221869959"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7. Визуальная форма записи справочника «Книга регистрации лицевых счетов» – Вкладка «Основная информация» продолжение</w:t>
        </w:r>
        <w:r>
          <w:tab/>
        </w:r>
        <w:r>
          <w:fldChar w:fldCharType="begin"/>
        </w:r>
        <w:r>
          <w:instrText xml:space="preserve"> PAGEREF _Toc221869959 \h </w:instrText>
        </w:r>
        <w:r/>
        <w:r>
          <w:fldChar w:fldCharType="separate"/>
        </w:r>
        <w:r>
          <w:t xml:space="preserve">31</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60" w:anchor="_Toc221869960"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8. Визуальная форма записи справочника «Книга регистрации лицевых счетов» – Вкладка «Письма ОрФК»</w:t>
        </w:r>
        <w:r>
          <w:tab/>
        </w:r>
        <w:r>
          <w:fldChar w:fldCharType="begin"/>
        </w:r>
        <w:r>
          <w:instrText xml:space="preserve"> PAGEREF _Toc221869960 \h </w:instrText>
        </w:r>
        <w:r/>
        <w:r>
          <w:fldChar w:fldCharType="separate"/>
        </w:r>
        <w:r>
          <w:t xml:space="preserve">31</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61" w:anchor="_Toc221869961"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9. Списковая форма формуляра «Заявление на изменение справочника «Книги регистрации лицевых счетов»</w:t>
        </w:r>
        <w:r>
          <w:tab/>
        </w:r>
        <w:r>
          <w:fldChar w:fldCharType="begin"/>
        </w:r>
        <w:r>
          <w:instrText xml:space="preserve"> PAGEREF _Toc221869961 \h </w:instrText>
        </w:r>
        <w:r/>
        <w:r>
          <w:fldChar w:fldCharType="separate"/>
        </w:r>
        <w:r>
          <w:t xml:space="preserve">39</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62" w:anchor="_Toc221869962"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10. Визуальная форма записи формуляра «Заявление на изменение справочника «Книги регистрации лицевых счетов» – Вкладка «Основная информация»</w:t>
        </w:r>
        <w:r>
          <w:tab/>
        </w:r>
        <w:r>
          <w:fldChar w:fldCharType="begin"/>
        </w:r>
        <w:r>
          <w:instrText xml:space="preserve"> PAGEREF _Toc221869962 \h </w:instrText>
        </w:r>
        <w:r/>
        <w:r>
          <w:fldChar w:fldCharType="separate"/>
        </w:r>
        <w:r>
          <w:t xml:space="preserve">40</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63" w:anchor="_Toc221869963"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11. Визуальная форма записи формуляра «Заявление на изменение справочника «Книги регистрации лицевых счетов» – Вкладка «Основная информация» продолжение</w:t>
        </w:r>
        <w:r>
          <w:tab/>
        </w:r>
        <w:r>
          <w:fldChar w:fldCharType="begin"/>
        </w:r>
        <w:r>
          <w:instrText xml:space="preserve"> PAGEREF _Toc221869963 \h </w:instrText>
        </w:r>
        <w:r/>
        <w:r>
          <w:fldChar w:fldCharType="separate"/>
        </w:r>
        <w:r>
          <w:t xml:space="preserve">41</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64" w:anchor="_Toc221869964"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12. Визуальная форма записи формуляра «Заявление на изменение справочника «Книги регистрации лицевых счетов» – Вкладка «Полномочия»</w:t>
        </w:r>
        <w:r>
          <w:tab/>
        </w:r>
        <w:r>
          <w:fldChar w:fldCharType="begin"/>
        </w:r>
        <w:r>
          <w:instrText xml:space="preserve"> PAGEREF _Toc221869964 \h </w:instrText>
        </w:r>
        <w:r/>
        <w:r>
          <w:fldChar w:fldCharType="separate"/>
        </w:r>
        <w:r>
          <w:t xml:space="preserve">41</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65" w:anchor="_Toc221869965"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13. Визуальная форма записи формуляра «Заявление на изменение справочника «Книги регистрации лицевых счетов» – Вкладка «Лист согласования»</w:t>
        </w:r>
        <w:r>
          <w:tab/>
        </w:r>
        <w:r>
          <w:fldChar w:fldCharType="begin"/>
        </w:r>
        <w:r>
          <w:instrText xml:space="preserve"> PAGEREF _Toc221869965 \h </w:instrText>
        </w:r>
        <w:r/>
        <w:r>
          <w:fldChar w:fldCharType="separate"/>
        </w:r>
        <w:r>
          <w:t xml:space="preserve">42</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66" w:anchor="_Toc221869966"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14. Визуальная форма записи формуляра «Заявление на изменение справочника «Книги регистрации лицевых счетов» – Вкладка «Вложения»</w:t>
        </w:r>
        <w:r>
          <w:tab/>
        </w:r>
        <w:r>
          <w:fldChar w:fldCharType="begin"/>
        </w:r>
        <w:r>
          <w:instrText xml:space="preserve"> PAGEREF _Toc221869966 \h </w:instrText>
        </w:r>
        <w:r/>
        <w:r>
          <w:fldChar w:fldCharType="separate"/>
        </w:r>
        <w:r>
          <w:t xml:space="preserve">42</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67" w:anchor="_Toc221869967"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15. Списковая форма Реестра заявок на изменение Книги регистрации лицевых счетов</w:t>
        </w:r>
        <w:r>
          <w:tab/>
        </w:r>
        <w:r>
          <w:fldChar w:fldCharType="begin"/>
        </w:r>
        <w:r>
          <w:instrText xml:space="preserve"> PAGEREF _Toc221869967 \h </w:instrText>
        </w:r>
        <w:r/>
        <w:r>
          <w:fldChar w:fldCharType="separate"/>
        </w:r>
        <w:r>
          <w:t xml:space="preserve">73</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68" w:anchor="_Toc221869968"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16. Резервирование лицевого счета с типом «71»</w:t>
        </w:r>
        <w:r>
          <w:tab/>
        </w:r>
        <w:r>
          <w:fldChar w:fldCharType="begin"/>
        </w:r>
        <w:r>
          <w:instrText xml:space="preserve"> PAGEREF _Toc221869968 \h </w:instrText>
        </w:r>
        <w:r/>
        <w:r>
          <w:fldChar w:fldCharType="separate"/>
        </w:r>
        <w:r>
          <w:t xml:space="preserve">73</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69" w:anchor="_Toc221869969"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17. Отображение зарезервированного лицевого счета в справочнике «Книга регистрации лицевых счетов»</w:t>
        </w:r>
        <w:r>
          <w:tab/>
        </w:r>
        <w:r>
          <w:fldChar w:fldCharType="begin"/>
        </w:r>
        <w:r>
          <w:instrText xml:space="preserve"> PAGEREF _Toc221869969 \h </w:instrText>
        </w:r>
        <w:r/>
        <w:r>
          <w:fldChar w:fldCharType="separate"/>
        </w:r>
        <w:r>
          <w:t xml:space="preserve">74</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70" w:anchor="_Toc221869970"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18. Списковая форма Реестра заявлений на изменение Книги регистрации лицевых счетов</w:t>
        </w:r>
        <w:r>
          <w:tab/>
        </w:r>
        <w:r>
          <w:fldChar w:fldCharType="begin"/>
        </w:r>
        <w:r>
          <w:instrText xml:space="preserve"> PAGEREF _Toc221869970 \h </w:instrText>
        </w:r>
        <w:r/>
        <w:r>
          <w:fldChar w:fldCharType="separate"/>
        </w:r>
        <w:r>
          <w:t xml:space="preserve">76</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71" w:anchor="_Toc221869971"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19. Заявление на создание/изменение записи справочника Книги регистрации лицевых счетов</w:t>
        </w:r>
        <w:r>
          <w:tab/>
        </w:r>
        <w:r>
          <w:fldChar w:fldCharType="begin"/>
        </w:r>
        <w:r>
          <w:instrText xml:space="preserve"> PAGEREF _Toc221869971 \h </w:instrText>
        </w:r>
        <w:r/>
        <w:r>
          <w:fldChar w:fldCharType="separate"/>
        </w:r>
        <w:r>
          <w:t xml:space="preserve">77</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72" w:anchor="_Toc221869972"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20. Списковая форма согласования заявок, результат проверки документов</w:t>
        </w:r>
        <w:r>
          <w:tab/>
        </w:r>
        <w:r>
          <w:fldChar w:fldCharType="begin"/>
        </w:r>
        <w:r>
          <w:instrText xml:space="preserve"> PAGEREF _Toc221869972 \h </w:instrText>
        </w:r>
        <w:r/>
        <w:r>
          <w:fldChar w:fldCharType="separate"/>
        </w:r>
        <w:r>
          <w:t xml:space="preserve">83</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73" w:anchor="_Toc221869973"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21. Списковая форма формуляра «Извещение в ФНС по Лицевому счету»</w:t>
        </w:r>
        <w:r>
          <w:tab/>
        </w:r>
        <w:r>
          <w:fldChar w:fldCharType="begin"/>
        </w:r>
        <w:r>
          <w:instrText xml:space="preserve"> PAGEREF _Toc221869973 \h </w:instrText>
        </w:r>
        <w:r/>
        <w:r>
          <w:fldChar w:fldCharType="separate"/>
        </w:r>
        <w:r>
          <w:t xml:space="preserve">84</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74" w:anchor="_Toc221869974"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22. Визуальная форма записи формуляра «Извещение в ФНС по Лицевому счету»</w:t>
        </w:r>
        <w:r>
          <w:tab/>
        </w:r>
        <w:r>
          <w:fldChar w:fldCharType="begin"/>
        </w:r>
        <w:r>
          <w:instrText xml:space="preserve"> PAGEREF _Toc221869974 \h </w:instrText>
        </w:r>
        <w:r/>
        <w:r>
          <w:fldChar w:fldCharType="separate"/>
        </w:r>
        <w:r>
          <w:t xml:space="preserve">84</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75" w:anchor="_Toc221869975"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23. Списковая форма формуляра «Уведомление клиента ЛС»</w:t>
        </w:r>
        <w:r>
          <w:tab/>
        </w:r>
        <w:r>
          <w:fldChar w:fldCharType="begin"/>
        </w:r>
        <w:r>
          <w:instrText xml:space="preserve"> PAGEREF _Toc221869975 \h </w:instrText>
        </w:r>
        <w:r/>
        <w:r>
          <w:fldChar w:fldCharType="separate"/>
        </w:r>
        <w:r>
          <w:t xml:space="preserve">86</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76" w:anchor="_Toc221869976"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24. Визуальная форма записи формуляра «Уведомление клиента ЛС», вкладка «Основная информация»</w:t>
        </w:r>
        <w:r>
          <w:tab/>
        </w:r>
        <w:r>
          <w:fldChar w:fldCharType="begin"/>
        </w:r>
        <w:r>
          <w:instrText xml:space="preserve"> PAGEREF _Toc221869976 \h </w:instrText>
        </w:r>
        <w:r/>
        <w:r>
          <w:fldChar w:fldCharType="separate"/>
        </w:r>
        <w:r>
          <w:t xml:space="preserve">86</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77" w:anchor="_Toc221869977"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25. Визуальная форма записи формуляра «Уведомление клиента ЛС», вкладка «Лист согласования»</w:t>
        </w:r>
        <w:r>
          <w:tab/>
        </w:r>
        <w:r>
          <w:fldChar w:fldCharType="begin"/>
        </w:r>
        <w:r>
          <w:instrText xml:space="preserve"> PAGEREF _Toc221869977 \h </w:instrText>
        </w:r>
        <w:r/>
        <w:r>
          <w:fldChar w:fldCharType="separate"/>
        </w:r>
        <w:r>
          <w:t xml:space="preserve">87</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78" w:anchor="_Toc221869978"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26. Списковая форма формуляра «Протоколы»</w:t>
        </w:r>
        <w:r>
          <w:tab/>
        </w:r>
        <w:r>
          <w:fldChar w:fldCharType="begin"/>
        </w:r>
        <w:r>
          <w:instrText xml:space="preserve"> PAGEREF _Toc221869978 \h </w:instrText>
        </w:r>
        <w:r/>
        <w:r>
          <w:fldChar w:fldCharType="separate"/>
        </w:r>
        <w:r>
          <w:t xml:space="preserve">88</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79" w:anchor="_Toc221869979"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27. Визуальная форма записи формуляра «Протоколы»</w:t>
        </w:r>
        <w:r>
          <w:tab/>
        </w:r>
        <w:r>
          <w:fldChar w:fldCharType="begin"/>
        </w:r>
        <w:r>
          <w:instrText xml:space="preserve"> PAGEREF _Toc221869979 \h </w:instrText>
        </w:r>
        <w:r/>
        <w:r>
          <w:fldChar w:fldCharType="separate"/>
        </w:r>
        <w:r>
          <w:t xml:space="preserve">89</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80" w:anchor="_Toc221869980"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28. Списковая форма формуляра «Информация о реквизитах ЛС»</w:t>
        </w:r>
        <w:r>
          <w:tab/>
        </w:r>
        <w:r>
          <w:fldChar w:fldCharType="begin"/>
        </w:r>
        <w:r>
          <w:instrText xml:space="preserve"> PAGEREF _Toc221869980 \h </w:instrText>
        </w:r>
        <w:r/>
        <w:r>
          <w:fldChar w:fldCharType="separate"/>
        </w:r>
        <w:r>
          <w:t xml:space="preserve">90</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81" w:anchor="_Toc221869981"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29. Визуальная форма записи формуляра «Информация о реквизитах ЛС»</w:t>
        </w:r>
        <w:r>
          <w:tab/>
        </w:r>
        <w:r>
          <w:fldChar w:fldCharType="begin"/>
        </w:r>
        <w:r>
          <w:instrText xml:space="preserve"> PAGEREF _Toc221869981 \h </w:instrText>
        </w:r>
        <w:r/>
        <w:r>
          <w:fldChar w:fldCharType="separate"/>
        </w:r>
        <w:r>
          <w:t xml:space="preserve">90</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82" w:anchor="_Toc221869982"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30. Списковая форма «Уведомление об открытии (отказе открытия) лицевого счета головному исполнителю (исполнителю)»</w:t>
        </w:r>
        <w:r>
          <w:tab/>
        </w:r>
        <w:r>
          <w:fldChar w:fldCharType="begin"/>
        </w:r>
        <w:r>
          <w:instrText xml:space="preserve"> PAGEREF _Toc221869982 \h </w:instrText>
        </w:r>
        <w:r/>
        <w:r>
          <w:fldChar w:fldCharType="separate"/>
        </w:r>
        <w:r>
          <w:t xml:space="preserve">92</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83" w:anchor="_Toc221869983"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31. Визуальная форма «Уведомление об открытии (отказе открытия) лицевого счета головному исполнителю (исполнителю)»</w:t>
        </w:r>
        <w:r>
          <w:tab/>
        </w:r>
        <w:r>
          <w:fldChar w:fldCharType="begin"/>
        </w:r>
        <w:r>
          <w:instrText xml:space="preserve"> PAGEREF _Toc221869983 \h </w:instrText>
        </w:r>
        <w:r/>
        <w:r>
          <w:fldChar w:fldCharType="separate"/>
        </w:r>
        <w:r>
          <w:t xml:space="preserve">92</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84" w:anchor="_Toc221869984"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32. Списковая форма справочника «Типы документов-оснований»</w:t>
        </w:r>
        <w:r>
          <w:tab/>
        </w:r>
        <w:r>
          <w:fldChar w:fldCharType="begin"/>
        </w:r>
        <w:r>
          <w:instrText xml:space="preserve"> PAGEREF _Toc221869984 \h </w:instrText>
        </w:r>
        <w:r/>
        <w:r>
          <w:fldChar w:fldCharType="separate"/>
        </w:r>
        <w:r>
          <w:t xml:space="preserve">108</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85" w:anchor="_Toc221869985"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33. Визуальная форма записи справочника «Типы документов-оснований»</w:t>
        </w:r>
        <w:r>
          <w:tab/>
        </w:r>
        <w:r>
          <w:fldChar w:fldCharType="begin"/>
        </w:r>
        <w:r>
          <w:instrText xml:space="preserve"> PAGEREF _Toc221869985 \h </w:instrText>
        </w:r>
        <w:r/>
        <w:r>
          <w:fldChar w:fldCharType="separate"/>
        </w:r>
        <w:r>
          <w:t xml:space="preserve">109</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86" w:anchor="_Toc221869986"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34. Открытие «Электронной карточки образцов подписей» из списковой формы справочника «Сводный реестр»</w:t>
        </w:r>
        <w:r>
          <w:tab/>
        </w:r>
        <w:r>
          <w:fldChar w:fldCharType="begin"/>
        </w:r>
        <w:r>
          <w:instrText xml:space="preserve"> PAGEREF _Toc221869986 \h </w:instrText>
        </w:r>
        <w:r/>
        <w:r>
          <w:fldChar w:fldCharType="separate"/>
        </w:r>
        <w:r>
          <w:t xml:space="preserve">110</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87" w:anchor="_Toc221869987"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35. Открытие «Электронной карточки образцов подписей» из визуальной формы записи справочника «Сводный реестр»</w:t>
        </w:r>
        <w:r>
          <w:tab/>
        </w:r>
        <w:r>
          <w:fldChar w:fldCharType="begin"/>
        </w:r>
        <w:r>
          <w:instrText xml:space="preserve"> PAGEREF _Toc221869987 \h </w:instrText>
        </w:r>
        <w:r/>
        <w:r>
          <w:fldChar w:fldCharType="separate"/>
        </w:r>
        <w:r>
          <w:t xml:space="preserve">111</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88" w:anchor="_Toc221869988"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36. Визуальная форма записи справочника «Электронной карточки образцов подписей»</w:t>
        </w:r>
        <w:r>
          <w:tab/>
        </w:r>
        <w:r>
          <w:fldChar w:fldCharType="begin"/>
        </w:r>
        <w:r>
          <w:instrText xml:space="preserve"> PAGEREF _Toc221869988 \h </w:instrText>
        </w:r>
        <w:r/>
        <w:r>
          <w:fldChar w:fldCharType="separate"/>
        </w:r>
        <w:r>
          <w:t xml:space="preserve">111</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89" w:anchor="_Toc221869989"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37. Экранная форма рабочего места документа</w:t>
        </w:r>
        <w:r>
          <w:tab/>
        </w:r>
        <w:r>
          <w:fldChar w:fldCharType="begin"/>
        </w:r>
        <w:r>
          <w:instrText xml:space="preserve"> PAGEREF _Toc221869989 \h </w:instrText>
        </w:r>
        <w:r/>
        <w:r>
          <w:fldChar w:fldCharType="separate"/>
        </w:r>
        <w:r>
          <w:t xml:space="preserve">113</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90" w:anchor="_Toc221869990"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38. Пользовательские фильтры</w:t>
        </w:r>
        <w:r>
          <w:tab/>
        </w:r>
        <w:r>
          <w:fldChar w:fldCharType="begin"/>
        </w:r>
        <w:r>
          <w:instrText xml:space="preserve"> PAGEREF _Toc221869990 \h </w:instrText>
        </w:r>
        <w:r/>
        <w:r>
          <w:fldChar w:fldCharType="separate"/>
        </w:r>
        <w:r>
          <w:t xml:space="preserve">116</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91" w:anchor="_Toc221869991"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39. Выбор соответствия для фильтра</w:t>
        </w:r>
        <w:r>
          <w:tab/>
        </w:r>
        <w:r>
          <w:fldChar w:fldCharType="begin"/>
        </w:r>
        <w:r>
          <w:instrText xml:space="preserve"> PAGEREF _Toc221869991 \h </w:instrText>
        </w:r>
        <w:r/>
        <w:r>
          <w:fldChar w:fldCharType="separate"/>
        </w:r>
        <w:r>
          <w:t xml:space="preserve">116</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92" w:anchor="_Toc221869992"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40. Фильтр с форматом дата</w:t>
        </w:r>
        <w:r>
          <w:tab/>
        </w:r>
        <w:r>
          <w:fldChar w:fldCharType="begin"/>
        </w:r>
        <w:r>
          <w:instrText xml:space="preserve"> PAGEREF _Toc221869992 \h </w:instrText>
        </w:r>
        <w:r/>
        <w:r>
          <w:fldChar w:fldCharType="separate"/>
        </w:r>
        <w:r>
          <w:t xml:space="preserve">116</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93" w:anchor="_Toc221869993"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41. Активация функции «Вычислить общий размер скроллера»</w:t>
        </w:r>
        <w:r>
          <w:tab/>
        </w:r>
        <w:r>
          <w:fldChar w:fldCharType="begin"/>
        </w:r>
        <w:r>
          <w:instrText xml:space="preserve"> PAGEREF _Toc221869993 \h </w:instrText>
        </w:r>
        <w:r/>
        <w:r>
          <w:fldChar w:fldCharType="separate"/>
        </w:r>
        <w:r>
          <w:t xml:space="preserve">117</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94" w:anchor="_Toc221869994" w:history="1">
        <w:r>
          <w:rPr>
            <w:rStyle w:val="1331"/>
          </w:rPr>
          <w:t xml:space="preserve">Рисунок </w:t>
        </w:r>
        <w:r>
          <w:rPr>
            <w:rFonts w:asciiTheme="minorHAnsi" w:hAnsiTheme="minorHAnsi" w:eastAsiaTheme="minorEastAsia" w:cstheme="minorBidi"/>
            <w:szCs w:val="24"/>
            <w14:ligatures w14:val="standardContextual"/>
          </w:rPr>
          <w:tab/>
        </w:r>
        <w:r>
          <w:rPr>
            <w:rStyle w:val="1331"/>
            <w:bCs/>
          </w:rPr>
          <w:t xml:space="preserve">42</w:t>
        </w:r>
        <w:r>
          <w:rPr>
            <w:rStyle w:val="1331"/>
          </w:rPr>
          <w:t xml:space="preserve">. Стандартная панель</w:t>
        </w:r>
        <w:r>
          <w:tab/>
        </w:r>
        <w:r>
          <w:fldChar w:fldCharType="begin"/>
        </w:r>
        <w:r>
          <w:instrText xml:space="preserve"> PAGEREF _Toc221869994 \h </w:instrText>
        </w:r>
        <w:r/>
        <w:r>
          <w:fldChar w:fldCharType="separate"/>
        </w:r>
        <w:r>
          <w:t xml:space="preserve">117</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95" w:anchor="_Toc221869995"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43. Окно «Информация о документе»</w:t>
        </w:r>
        <w:r>
          <w:tab/>
        </w:r>
        <w:r>
          <w:fldChar w:fldCharType="begin"/>
        </w:r>
        <w:r>
          <w:instrText xml:space="preserve"> PAGEREF _Toc221869995 \h </w:instrText>
        </w:r>
        <w:r/>
        <w:r>
          <w:fldChar w:fldCharType="separate"/>
        </w:r>
        <w:r>
          <w:t xml:space="preserve">118</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96" w:anchor="_Toc221869996"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44. Ошибка «Нет прав для создания документа»</w:t>
        </w:r>
        <w:r>
          <w:tab/>
        </w:r>
        <w:r>
          <w:fldChar w:fldCharType="begin"/>
        </w:r>
        <w:r>
          <w:instrText xml:space="preserve"> PAGEREF _Toc221869996 \h </w:instrText>
        </w:r>
        <w:r/>
        <w:r>
          <w:fldChar w:fldCharType="separate"/>
        </w:r>
        <w:r>
          <w:t xml:space="preserve">120</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97" w:anchor="_Toc221869997"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45. Ошибка при открытии формуляров</w:t>
        </w:r>
        <w:r>
          <w:tab/>
        </w:r>
        <w:r>
          <w:fldChar w:fldCharType="begin"/>
        </w:r>
        <w:r>
          <w:instrText xml:space="preserve"> PAGEREF _Toc221869997 \h </w:instrText>
        </w:r>
        <w:r/>
        <w:r>
          <w:fldChar w:fldCharType="separate"/>
        </w:r>
        <w:r>
          <w:t xml:space="preserve">120</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98" w:anchor="_Toc221869998"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46. Ошибка при открытии формуляров</w:t>
        </w:r>
        <w:r>
          <w:tab/>
        </w:r>
        <w:r>
          <w:fldChar w:fldCharType="begin"/>
        </w:r>
        <w:r>
          <w:instrText xml:space="preserve"> PAGEREF _Toc221869998 \h </w:instrText>
        </w:r>
        <w:r/>
        <w:r>
          <w:fldChar w:fldCharType="separate"/>
        </w:r>
        <w:r>
          <w:t xml:space="preserve">121</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69999" w:anchor="_Toc221869999"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47. Ошибка при открытии фильтр-папок</w:t>
        </w:r>
        <w:r>
          <w:tab/>
        </w:r>
        <w:r>
          <w:fldChar w:fldCharType="begin"/>
        </w:r>
        <w:r>
          <w:instrText xml:space="preserve"> PAGEREF _Toc221869999 \h </w:instrText>
        </w:r>
        <w:r/>
        <w:r>
          <w:fldChar w:fldCharType="separate"/>
        </w:r>
        <w:r>
          <w:t xml:space="preserve">121</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70000" w:anchor="_Toc221870000"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48. Ошибка плагина Java</w:t>
        </w:r>
        <w:r>
          <w:tab/>
        </w:r>
        <w:r>
          <w:fldChar w:fldCharType="begin"/>
        </w:r>
        <w:r>
          <w:instrText xml:space="preserve"> PAGEREF _Toc221870000 \h </w:instrText>
        </w:r>
        <w:r/>
        <w:r>
          <w:fldChar w:fldCharType="separate"/>
        </w:r>
        <w:r>
          <w:t xml:space="preserve">121</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70001" w:anchor="_Toc221870001"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49. Ошибка при работе Меню</w:t>
        </w:r>
        <w:r>
          <w:tab/>
        </w:r>
        <w:r>
          <w:fldChar w:fldCharType="begin"/>
        </w:r>
        <w:r>
          <w:instrText xml:space="preserve"> PAGEREF _Toc221870001 \h </w:instrText>
        </w:r>
        <w:r/>
        <w:r>
          <w:fldChar w:fldCharType="separate"/>
        </w:r>
        <w:r>
          <w:t xml:space="preserve">121</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70002" w:anchor="_Toc221870002"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50. Ошибка при создании копии документа</w:t>
        </w:r>
        <w:r>
          <w:tab/>
        </w:r>
        <w:r>
          <w:fldChar w:fldCharType="begin"/>
        </w:r>
        <w:r>
          <w:instrText xml:space="preserve"> PAGEREF _Toc221870002 \h </w:instrText>
        </w:r>
        <w:r/>
        <w:r>
          <w:fldChar w:fldCharType="separate"/>
        </w:r>
        <w:r>
          <w:t xml:space="preserve">122</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70003" w:anchor="_Toc221870003"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51. Ошибка печати документа</w:t>
        </w:r>
        <w:r>
          <w:tab/>
        </w:r>
        <w:r>
          <w:fldChar w:fldCharType="begin"/>
        </w:r>
        <w:r>
          <w:instrText xml:space="preserve"> PAGEREF _Toc221870003 \h </w:instrText>
        </w:r>
        <w:r/>
        <w:r>
          <w:fldChar w:fldCharType="separate"/>
        </w:r>
        <w:r>
          <w:t xml:space="preserve">122</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70004" w:anchor="_Toc221870004"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52. Ошибка при подписании документа ЭП</w:t>
        </w:r>
        <w:r>
          <w:tab/>
        </w:r>
        <w:r>
          <w:fldChar w:fldCharType="begin"/>
        </w:r>
        <w:r>
          <w:instrText xml:space="preserve"> PAGEREF _Toc221870004 \h </w:instrText>
        </w:r>
        <w:r/>
        <w:r>
          <w:fldChar w:fldCharType="separate"/>
        </w:r>
        <w:r>
          <w:t xml:space="preserve">122</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70005" w:anchor="_Toc221870005"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53. Схема (1) взаимодействия клиентов и ТОФК (ТОФК по месту нахождения/обращения клиента, Центров специализации) при резервировании и открытии «единых» лицевых счетов (разделов на лицевых счетах)</w:t>
        </w:r>
        <w:r>
          <w:tab/>
        </w:r>
        <w:r>
          <w:fldChar w:fldCharType="begin"/>
        </w:r>
        <w:r>
          <w:instrText xml:space="preserve"> PAGEREF _Toc221870005 \h </w:instrText>
        </w:r>
        <w:r/>
        <w:r>
          <w:fldChar w:fldCharType="separate"/>
        </w:r>
        <w:r>
          <w:t xml:space="preserve">124</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70006" w:anchor="_Toc221870006"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54. Схема (2) взаимодействия клиентов и ТОФК (ТОФК по месту нахождения/обращения клиента, Центров специализации) при резервировании и открытии «единых» лицевых счетов (разделов на лицевых счетах)</w:t>
        </w:r>
        <w:r>
          <w:tab/>
        </w:r>
        <w:r>
          <w:fldChar w:fldCharType="begin"/>
        </w:r>
        <w:r>
          <w:instrText xml:space="preserve"> PAGEREF _Toc221870006 \h </w:instrText>
        </w:r>
        <w:r/>
        <w:r>
          <w:fldChar w:fldCharType="separate"/>
        </w:r>
        <w:r>
          <w:t xml:space="preserve">125</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70007" w:anchor="_Toc221870007"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55. Схема (3) взаимодействия клиентов и ТОФК (ТОФК по месту нахождения/обращения клиента, Центров специализации, платежных центров) при осуществлении операций на «единых» лицевых счетах</w:t>
        </w:r>
        <w:r>
          <w:tab/>
        </w:r>
        <w:r>
          <w:fldChar w:fldCharType="begin"/>
        </w:r>
        <w:r>
          <w:instrText xml:space="preserve"> PAGEREF _Toc221870007 \h </w:instrText>
        </w:r>
        <w:r/>
        <w:r>
          <w:fldChar w:fldCharType="separate"/>
        </w:r>
        <w:r>
          <w:t xml:space="preserve">126</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70008" w:anchor="_Toc221870008"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56. Схема (4) взаимодействия клиентов и ТОФК (ТОФК по месту нахождения/обращения клиента, Центров специализации, платежных центров) при осуществлении операций на «единых» лицевых счетах</w:t>
        </w:r>
        <w:r>
          <w:tab/>
        </w:r>
        <w:r>
          <w:fldChar w:fldCharType="begin"/>
        </w:r>
        <w:r>
          <w:instrText xml:space="preserve"> PAGEREF _Toc221870008 \h </w:instrText>
        </w:r>
        <w:r/>
        <w:r>
          <w:fldChar w:fldCharType="separate"/>
        </w:r>
        <w:r>
          <w:t xml:space="preserve">127</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70009" w:anchor="_Toc221870009"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57. Схема (1) привязки «Платежный центр – Центр специализации – ТОФК»</w:t>
        </w:r>
        <w:r>
          <w:tab/>
        </w:r>
        <w:r>
          <w:fldChar w:fldCharType="begin"/>
        </w:r>
        <w:r>
          <w:instrText xml:space="preserve"> PAGEREF _Toc221870009 \h </w:instrText>
        </w:r>
        <w:r/>
        <w:r>
          <w:fldChar w:fldCharType="separate"/>
        </w:r>
        <w:r>
          <w:t xml:space="preserve">128</w:t>
        </w:r>
        <w:r>
          <w:fldChar w:fldCharType="end"/>
        </w:r>
      </w:hyperlink>
      <w:r/>
      <w:r>
        <w:rPr>
          <w:rFonts w:asciiTheme="minorHAnsi" w:hAnsiTheme="minorHAnsi" w:eastAsiaTheme="minorEastAsia" w:cstheme="minorBidi"/>
          <w:szCs w:val="24"/>
          <w14:ligatures w14:val="standardContextual"/>
        </w:rPr>
      </w:r>
    </w:p>
    <w:p>
      <w:pPr>
        <w:pStyle w:val="1463"/>
        <w:rPr>
          <w:rFonts w:asciiTheme="minorHAnsi" w:hAnsiTheme="minorHAnsi" w:eastAsiaTheme="minorEastAsia" w:cstheme="minorBidi"/>
          <w:szCs w:val="24"/>
          <w14:ligatures w14:val="standardContextual"/>
        </w:rPr>
      </w:pPr>
      <w:r/>
      <w:hyperlink w:tooltip="#_Toc221870010" w:anchor="_Toc221870010" w:history="1">
        <w:r>
          <w:rPr>
            <w:rStyle w:val="1331"/>
          </w:rPr>
          <w:t xml:space="preserve">Рисунок </w:t>
        </w:r>
        <w:r>
          <w:rPr>
            <w:rFonts w:asciiTheme="minorHAnsi" w:hAnsiTheme="minorHAnsi" w:eastAsiaTheme="minorEastAsia" w:cstheme="minorBidi"/>
            <w:szCs w:val="24"/>
            <w14:ligatures w14:val="standardContextual"/>
          </w:rPr>
          <w:tab/>
        </w:r>
        <w:r>
          <w:rPr>
            <w:rStyle w:val="1331"/>
          </w:rPr>
          <w:t xml:space="preserve">58. Схема (2) привязки «Платежный центр – Центр специализации – ТОФК»</w:t>
        </w:r>
        <w:r>
          <w:tab/>
        </w:r>
        <w:r>
          <w:fldChar w:fldCharType="begin"/>
        </w:r>
        <w:r>
          <w:instrText xml:space="preserve"> PAGEREF _Toc221870010 \h </w:instrText>
        </w:r>
        <w:r/>
        <w:r>
          <w:fldChar w:fldCharType="separate"/>
        </w:r>
        <w:r>
          <w:t xml:space="preserve">129</w:t>
        </w:r>
        <w:r>
          <w:fldChar w:fldCharType="end"/>
        </w:r>
      </w:hyperlink>
      <w:r/>
      <w:r>
        <w:rPr>
          <w:rFonts w:asciiTheme="minorHAnsi" w:hAnsiTheme="minorHAnsi" w:eastAsiaTheme="minorEastAsia" w:cstheme="minorBidi"/>
          <w:szCs w:val="24"/>
          <w14:ligatures w14:val="standardContextual"/>
        </w:rPr>
      </w:r>
    </w:p>
    <w:p>
      <w:pPr>
        <w:pStyle w:val="1305"/>
      </w:pPr>
      <w:r>
        <w:fldChar w:fldCharType="end"/>
      </w:r>
      <w:r/>
    </w:p>
    <w:p>
      <w:pPr>
        <w:pStyle w:val="1309"/>
      </w:pPr>
      <w:r/>
      <w:bookmarkStart w:id="7" w:name="_Toc221869877"/>
      <w:r>
        <w:t xml:space="preserve">Пере</w:t>
      </w:r>
      <w:r>
        <w:t xml:space="preserve">ч</w:t>
      </w:r>
      <w:r>
        <w:t xml:space="preserve">ень </w:t>
      </w:r>
      <w:r>
        <w:t xml:space="preserve">терминов и </w:t>
      </w:r>
      <w:r>
        <w:t xml:space="preserve">сокращений</w:t>
      </w:r>
      <w:bookmarkEnd w:id="7"/>
      <w:r/>
      <w:r/>
    </w:p>
    <w:p>
      <w:pPr>
        <w:pStyle w:val="1305"/>
      </w:pPr>
      <w:r>
        <w:t xml:space="preserve">Сокращения и условные обозначения, встречающиеся в данном документе, приведены в таблице </w:t>
      </w:r>
      <w:r>
        <w:fldChar w:fldCharType="begin"/>
      </w:r>
      <w:r>
        <w:instrText xml:space="preserve"> REF _Ref438801480 \h  \* MERGEFORMAT </w:instrText>
      </w:r>
      <w:r>
        <w:fldChar w:fldCharType="separate"/>
      </w:r>
      <w:r>
        <w:t xml:space="preserve">1</w:t>
      </w:r>
      <w:r>
        <w:fldChar w:fldCharType="end"/>
      </w:r>
      <w:r>
        <w:t xml:space="preserve">.</w:t>
      </w:r>
      <w:r/>
    </w:p>
    <w:p>
      <w:pPr>
        <w:pStyle w:val="1304"/>
      </w:pPr>
      <w:r>
        <w:fldChar w:fldCharType="begin"/>
      </w:r>
      <w:r>
        <w:instrText xml:space="preserve"> SEQ Таблица \* ARABIC </w:instrText>
      </w:r>
      <w:r>
        <w:fldChar w:fldCharType="separate"/>
      </w:r>
      <w:bookmarkStart w:id="8" w:name="_Ref438801480"/>
      <w:r/>
      <w:bookmarkStart w:id="9" w:name="_Toc529874067"/>
      <w:r/>
      <w:bookmarkStart w:id="10" w:name="_Toc94203172"/>
      <w:r/>
      <w:bookmarkStart w:id="11" w:name="_Toc221869942"/>
      <w:r>
        <w:t xml:space="preserve">1</w:t>
      </w:r>
      <w:bookmarkEnd w:id="8"/>
      <w:r>
        <w:fldChar w:fldCharType="end"/>
      </w:r>
      <w:r>
        <w:t xml:space="preserve">. Список терминов и сокращений</w:t>
      </w:r>
      <w:bookmarkEnd w:id="9"/>
      <w:r/>
      <w:bookmarkEnd w:id="10"/>
      <w:r/>
      <w:bookmarkEnd w:id="11"/>
      <w:r/>
      <w:r/>
    </w:p>
    <w:tbl>
      <w:tblPr>
        <w:tblStyle w:val="1315"/>
        <w:tblW w:w="5000" w:type="pct"/>
        <w:tblLayout w:type="fixed"/>
        <w:tblLook w:val="00A0" w:firstRow="1" w:lastRow="0" w:firstColumn="1" w:lastColumn="0" w:noHBand="0" w:noVBand="0"/>
      </w:tblPr>
      <w:tblGrid>
        <w:gridCol w:w="2155"/>
        <w:gridCol w:w="7539"/>
      </w:tblGrid>
      <w:tr>
        <w:tblPrEx/>
        <w:trPr/>
        <w:tc>
          <w:tcPr>
            <w:tcW w:w="2155" w:type="dxa"/>
            <w:textDirection w:val="lrTb"/>
            <w:noWrap w:val="false"/>
          </w:tcPr>
          <w:p>
            <w:pPr>
              <w:pStyle w:val="1317"/>
            </w:pPr>
            <w:r>
              <w:t xml:space="preserve">Термин/сокращение</w:t>
            </w:r>
            <w:r/>
          </w:p>
        </w:tc>
        <w:tc>
          <w:tcPr>
            <w:tcW w:w="7539" w:type="dxa"/>
            <w:textDirection w:val="lrTb"/>
            <w:noWrap w:val="false"/>
          </w:tcPr>
          <w:p>
            <w:pPr>
              <w:pStyle w:val="1317"/>
            </w:pPr>
            <w:r>
              <w:t xml:space="preserve">Определение/расшифровка</w:t>
            </w:r>
            <w:r/>
          </w:p>
        </w:tc>
      </w:tr>
      <w:tr>
        <w:tblPrEx/>
        <w:trPr/>
        <w:tc>
          <w:tcPr>
            <w:tcW w:w="2155" w:type="dxa"/>
            <w:textDirection w:val="lrTb"/>
            <w:noWrap w:val="false"/>
          </w:tcPr>
          <w:p>
            <w:pPr>
              <w:pStyle w:val="1316"/>
            </w:pPr>
            <w:r>
              <w:rPr>
                <w:rStyle w:val="1788"/>
                <w:rFonts w:eastAsia="Arial Unicode MS"/>
              </w:rPr>
              <w:t xml:space="preserve">eToken</w:t>
            </w:r>
            <w:r/>
          </w:p>
        </w:tc>
        <w:tc>
          <w:tcPr>
            <w:tcW w:w="7539" w:type="dxa"/>
            <w:textDirection w:val="lrTb"/>
            <w:noWrap w:val="false"/>
          </w:tcPr>
          <w:p>
            <w:pPr>
              <w:pStyle w:val="1316"/>
            </w:pPr>
            <w:r>
              <w:t xml:space="preserve">Аппаратные и программные решения иностранного производства в области аутентификации, защиты информации и электронной подписи (производитель: израильская компания «Aladdin Knowledge Systems»)</w:t>
            </w:r>
            <w:r/>
          </w:p>
        </w:tc>
      </w:tr>
      <w:tr>
        <w:tblPrEx/>
        <w:trPr/>
        <w:tc>
          <w:tcPr>
            <w:tcW w:w="2155" w:type="dxa"/>
            <w:textDirection w:val="lrTb"/>
            <w:noWrap w:val="false"/>
          </w:tcPr>
          <w:p>
            <w:pPr>
              <w:pStyle w:val="1316"/>
            </w:pPr>
            <w:r>
              <w:rPr>
                <w:szCs w:val="24"/>
              </w:rPr>
              <w:t xml:space="preserve">GUID</w:t>
            </w:r>
            <w:r/>
          </w:p>
        </w:tc>
        <w:tc>
          <w:tcPr>
            <w:tcW w:w="7539" w:type="dxa"/>
            <w:textDirection w:val="lrTb"/>
            <w:noWrap w:val="false"/>
          </w:tcPr>
          <w:p>
            <w:pPr>
              <w:pStyle w:val="1316"/>
            </w:pPr>
            <w:r>
              <w:t xml:space="preserve">Globally Unique Identifier – уникальный 128-битный идентификатор, представляется в виде строки из шестнадцатеричных цифр, разбитых на пять групп по 8, 4, 4, 4 и 12 символов соответственно, разделенных дефисами: XXXXXXXX-XXXX-XXXX-XXXX-XXXXXXXXXXXX</w:t>
            </w:r>
            <w:r/>
          </w:p>
        </w:tc>
      </w:tr>
      <w:tr>
        <w:tblPrEx/>
        <w:trPr/>
        <w:tc>
          <w:tcPr>
            <w:tcW w:w="2155" w:type="dxa"/>
            <w:textDirection w:val="lrTb"/>
            <w:noWrap w:val="false"/>
          </w:tcPr>
          <w:p>
            <w:pPr>
              <w:pStyle w:val="1316"/>
            </w:pPr>
            <w:r>
              <w:t xml:space="preserve">Java</w:t>
            </w:r>
            <w:r/>
          </w:p>
        </w:tc>
        <w:tc>
          <w:tcPr>
            <w:tcW w:w="7539" w:type="dxa"/>
            <w:textDirection w:val="lrTb"/>
            <w:noWrap w:val="false"/>
          </w:tcPr>
          <w:p>
            <w:pPr>
              <w:pStyle w:val="1316"/>
            </w:pPr>
            <w:r>
              <w:t xml:space="preserve">Язык программирования и платформа создания приложений</w:t>
            </w:r>
            <w:r/>
          </w:p>
        </w:tc>
      </w:tr>
      <w:tr>
        <w:tblPrEx/>
        <w:trPr/>
        <w:tc>
          <w:tcPr>
            <w:tcW w:w="2155" w:type="dxa"/>
            <w:textDirection w:val="lrTb"/>
            <w:noWrap w:val="false"/>
          </w:tcPr>
          <w:p>
            <w:pPr>
              <w:pStyle w:val="1316"/>
            </w:pPr>
            <w:r>
              <w:rPr>
                <w:rStyle w:val="1788"/>
              </w:rPr>
              <w:t xml:space="preserve">ruToken</w:t>
            </w:r>
            <w:r/>
          </w:p>
        </w:tc>
        <w:tc>
          <w:tcPr>
            <w:tcW w:w="7539" w:type="dxa"/>
            <w:textDirection w:val="lrTb"/>
            <w:noWrap w:val="false"/>
          </w:tcPr>
          <w:p>
            <w:pPr>
              <w:pStyle w:val="1316"/>
            </w:pPr>
            <w:r>
              <w:t xml:space="preserve">Аппаратные и программные решения российского производства в области аутентификации, защиты информации и электронной подписи (производитель: компания «Актив»)</w:t>
            </w:r>
            <w:r/>
          </w:p>
        </w:tc>
      </w:tr>
      <w:tr>
        <w:tblPrEx/>
        <w:trPr/>
        <w:tc>
          <w:tcPr>
            <w:tcW w:w="2155" w:type="dxa"/>
            <w:textDirection w:val="lrTb"/>
            <w:noWrap w:val="false"/>
          </w:tcPr>
          <w:p>
            <w:pPr>
              <w:pStyle w:val="1316"/>
            </w:pPr>
            <w:r>
              <w:t xml:space="preserve">TLS</w:t>
            </w:r>
            <w:r/>
          </w:p>
        </w:tc>
        <w:tc>
          <w:tcPr>
            <w:tcW w:w="7539" w:type="dxa"/>
            <w:textDirection w:val="lrTb"/>
            <w:noWrap w:val="false"/>
          </w:tcPr>
          <w:p>
            <w:pPr>
              <w:pStyle w:val="1316"/>
            </w:pPr>
            <w:r>
              <w:t xml:space="preserve">Transport layer security (протокол защиты транспортного уровня) – криптографический протокол, обеспечивающий защищённую передачу данных между узлами в сети Интернет</w:t>
            </w:r>
            <w:r/>
          </w:p>
        </w:tc>
      </w:tr>
      <w:tr>
        <w:tblPrEx/>
        <w:trPr/>
        <w:tc>
          <w:tcPr>
            <w:tcW w:w="2155" w:type="dxa"/>
            <w:textDirection w:val="lrTb"/>
            <w:noWrap w:val="false"/>
          </w:tcPr>
          <w:p>
            <w:pPr>
              <w:pStyle w:val="1316"/>
              <w:rPr>
                <w:rStyle w:val="1788"/>
                <w:rFonts w:eastAsia="Arial Unicode MS"/>
              </w:rPr>
            </w:pPr>
            <w:r>
              <w:t xml:space="preserve">VPN</w:t>
            </w:r>
            <w:r>
              <w:rPr>
                <w:rStyle w:val="1788"/>
                <w:rFonts w:eastAsia="Arial Unicode MS"/>
              </w:rPr>
            </w:r>
          </w:p>
        </w:tc>
        <w:tc>
          <w:tcPr>
            <w:tcW w:w="7539" w:type="dxa"/>
            <w:textDirection w:val="lrTb"/>
            <w:noWrap w:val="false"/>
          </w:tcPr>
          <w:p>
            <w:pPr>
              <w:pStyle w:val="1316"/>
            </w:pPr>
            <w:r>
              <w:t xml:space="preserve">Virtual Private Network. Виртуальная частная сеть – комплекс технологий, позволяющих создать логическую сеть поверх физической</w:t>
            </w:r>
            <w:r/>
          </w:p>
        </w:tc>
      </w:tr>
      <w:tr>
        <w:tblPrEx/>
        <w:trPr/>
        <w:tc>
          <w:tcPr>
            <w:tcW w:w="2155" w:type="dxa"/>
            <w:textDirection w:val="lrTb"/>
            <w:noWrap w:val="false"/>
          </w:tcPr>
          <w:p>
            <w:pPr>
              <w:pStyle w:val="1316"/>
              <w:rPr>
                <w:szCs w:val="24"/>
              </w:rPr>
            </w:pPr>
            <w:r>
              <w:t xml:space="preserve">АРМ</w:t>
            </w:r>
            <w:r>
              <w:rPr>
                <w:szCs w:val="24"/>
              </w:rPr>
            </w:r>
          </w:p>
        </w:tc>
        <w:tc>
          <w:tcPr>
            <w:tcW w:w="7539" w:type="dxa"/>
            <w:textDirection w:val="lrTb"/>
            <w:noWrap w:val="false"/>
          </w:tcPr>
          <w:p>
            <w:pPr>
              <w:pStyle w:val="1316"/>
            </w:pPr>
            <w:r>
              <w:t xml:space="preserve">Автоматизированное рабочее место</w:t>
            </w:r>
            <w:r/>
          </w:p>
        </w:tc>
      </w:tr>
      <w:tr>
        <w:tblPrEx/>
        <w:trPr/>
        <w:tc>
          <w:tcPr>
            <w:tcW w:w="2155" w:type="dxa"/>
            <w:textDirection w:val="lrTb"/>
            <w:noWrap w:val="false"/>
          </w:tcPr>
          <w:p>
            <w:pPr>
              <w:pStyle w:val="1316"/>
            </w:pPr>
            <w:r>
              <w:t xml:space="preserve">АСФК</w:t>
            </w:r>
            <w:r/>
          </w:p>
        </w:tc>
        <w:tc>
          <w:tcPr>
            <w:tcW w:w="7539" w:type="dxa"/>
            <w:textDirection w:val="lrTb"/>
            <w:noWrap w:val="false"/>
          </w:tcPr>
          <w:p>
            <w:pPr>
              <w:pStyle w:val="1316"/>
            </w:pPr>
            <w:r>
              <w:t xml:space="preserve">Автоматизированная система Федерального казначейства</w:t>
            </w:r>
            <w:r/>
          </w:p>
        </w:tc>
      </w:tr>
      <w:tr>
        <w:tblPrEx/>
        <w:trPr/>
        <w:tc>
          <w:tcPr>
            <w:tcW w:w="2155" w:type="dxa"/>
            <w:textDirection w:val="lrTb"/>
            <w:noWrap w:val="false"/>
          </w:tcPr>
          <w:p>
            <w:pPr>
              <w:pStyle w:val="1316"/>
            </w:pPr>
            <w:r>
              <w:t xml:space="preserve">АУ</w:t>
            </w:r>
            <w:r/>
          </w:p>
        </w:tc>
        <w:tc>
          <w:tcPr>
            <w:tcW w:w="7539" w:type="dxa"/>
            <w:textDirection w:val="lrTb"/>
            <w:noWrap w:val="false"/>
          </w:tcPr>
          <w:p>
            <w:pPr>
              <w:pStyle w:val="1316"/>
            </w:pPr>
            <w:r>
              <w:t xml:space="preserve">Автономное учреждение – некоммерческая организация, создан</w:t>
            </w:r>
            <w:r>
              <w:t xml:space="preserve">ная Российской Федерацией, субъектом Российской Федерации или муниципальным образованием для выполнения работ, оказания услуг в целях осуществления предусмотренных законодательством Российской Федерации полномочий органов государственной власти, полномочий</w:t>
            </w:r>
            <w:r>
              <w:t xml:space="preserve"> органов местного самоуправления в сферах науки, образования, здравоохранения, культуры, средств массовой информации, социальной защиты, занятости населения, физической культуры и спорта, а также в иных сферах в случаях, установленных федеральными законами</w:t>
            </w:r>
            <w:r/>
          </w:p>
        </w:tc>
      </w:tr>
      <w:tr>
        <w:tblPrEx/>
        <w:trPr/>
        <w:tc>
          <w:tcPr>
            <w:tcW w:w="2155" w:type="dxa"/>
            <w:textDirection w:val="lrTb"/>
            <w:noWrap w:val="false"/>
          </w:tcPr>
          <w:p>
            <w:pPr>
              <w:pStyle w:val="1316"/>
            </w:pPr>
            <w:r>
              <w:t xml:space="preserve">Бизнес-процесс</w:t>
            </w:r>
            <w:r/>
          </w:p>
        </w:tc>
        <w:tc>
          <w:tcPr>
            <w:tcW w:w="7539" w:type="dxa"/>
            <w:textDirection w:val="lrTb"/>
            <w:noWrap w:val="false"/>
          </w:tcPr>
          <w:p>
            <w:pPr>
              <w:pStyle w:val="1316"/>
            </w:pPr>
            <w:r>
              <w:t xml:space="preserve">Процесс финансово-хозяйственной деятельности орг</w:t>
            </w:r>
            <w:r>
              <w:t xml:space="preserve">анизаций сектора государственного управления, получателей средств из бюджета, участников казначейского сопровождения, регламентируемый законодательными и иными нормативными правовыми актами государственных органов исполнительной власти Российской Федерации</w:t>
            </w:r>
            <w:r/>
          </w:p>
        </w:tc>
      </w:tr>
      <w:tr>
        <w:tblPrEx/>
        <w:trPr/>
        <w:tc>
          <w:tcPr>
            <w:tcW w:w="2155" w:type="dxa"/>
            <w:textDirection w:val="lrTb"/>
            <w:noWrap w:val="false"/>
          </w:tcPr>
          <w:p>
            <w:pPr>
              <w:pStyle w:val="1316"/>
            </w:pPr>
            <w:r>
              <w:rPr>
                <w:szCs w:val="24"/>
              </w:rPr>
              <w:t xml:space="preserve">БИК</w:t>
            </w:r>
            <w:r/>
          </w:p>
        </w:tc>
        <w:tc>
          <w:tcPr>
            <w:tcW w:w="7539" w:type="dxa"/>
            <w:textDirection w:val="lrTb"/>
            <w:noWrap w:val="false"/>
          </w:tcPr>
          <w:p>
            <w:pPr>
              <w:pStyle w:val="1316"/>
            </w:pPr>
            <w:r>
              <w:t xml:space="preserve">Банковский идентификационный код</w:t>
            </w:r>
            <w:r/>
          </w:p>
        </w:tc>
      </w:tr>
      <w:tr>
        <w:tblPrEx/>
        <w:trPr/>
        <w:tc>
          <w:tcPr>
            <w:tcW w:w="2155" w:type="dxa"/>
            <w:textDirection w:val="lrTb"/>
            <w:noWrap w:val="false"/>
          </w:tcPr>
          <w:p>
            <w:pPr>
              <w:pStyle w:val="1316"/>
            </w:pPr>
            <w:r>
              <w:t xml:space="preserve">БМ</w:t>
            </w:r>
            <w:r/>
          </w:p>
        </w:tc>
        <w:tc>
          <w:tcPr>
            <w:tcW w:w="7539" w:type="dxa"/>
            <w:textDirection w:val="lrTb"/>
            <w:noWrap w:val="false"/>
          </w:tcPr>
          <w:p>
            <w:pPr>
              <w:pStyle w:val="1316"/>
            </w:pPr>
            <w:r>
              <w:t xml:space="preserve">Бюджетный мониторинг</w:t>
            </w:r>
            <w:r/>
          </w:p>
        </w:tc>
      </w:tr>
      <w:tr>
        <w:tblPrEx/>
        <w:trPr/>
        <w:tc>
          <w:tcPr>
            <w:tcW w:w="2155" w:type="dxa"/>
            <w:textDirection w:val="lrTb"/>
            <w:noWrap w:val="false"/>
          </w:tcPr>
          <w:p>
            <w:pPr>
              <w:pStyle w:val="1316"/>
            </w:pPr>
            <w:r>
              <w:t xml:space="preserve">БУ</w:t>
            </w:r>
            <w:r/>
          </w:p>
        </w:tc>
        <w:tc>
          <w:tcPr>
            <w:tcW w:w="7539" w:type="dxa"/>
            <w:textDirection w:val="lrTb"/>
            <w:noWrap w:val="false"/>
          </w:tcPr>
          <w:p>
            <w:pPr>
              <w:pStyle w:val="1316"/>
            </w:pPr>
            <w:r>
              <w:t xml:space="preserve">Бюджетное учреждени</w:t>
            </w:r>
            <w:r>
              <w:t xml:space="preserve">е – некоммерческая организация, созданная Российской Федерацией, субъектом Российской Федерации или муниципальным образованием для выполнения работ, оказания услуг, в целях обеспечения реализации предусмотренных законодательством Российской Федерации полно</w:t>
            </w:r>
            <w:r>
              <w:t xml:space="preserve">мочий</w:t>
            </w:r>
            <w:r>
              <w:t xml:space="preserve"> соответственно органов государственной власти (государственных органов) или органов местного самоуправления в сферах науки, образования, здравоохранения, культуры, социальной защиты, занятости населения, физической культуры и спорта, а также в иных сферах</w:t>
            </w:r>
            <w:r/>
          </w:p>
        </w:tc>
      </w:tr>
      <w:tr>
        <w:tblPrEx/>
        <w:trPr/>
        <w:tc>
          <w:tcPr>
            <w:tcW w:w="2155" w:type="dxa"/>
            <w:textDirection w:val="lrTb"/>
            <w:noWrap w:val="false"/>
          </w:tcPr>
          <w:p>
            <w:pPr>
              <w:pStyle w:val="1316"/>
            </w:pPr>
            <w:r>
              <w:rPr>
                <w:szCs w:val="24"/>
              </w:rPr>
              <w:t xml:space="preserve">ВФ</w:t>
            </w:r>
            <w:r/>
          </w:p>
        </w:tc>
        <w:tc>
          <w:tcPr>
            <w:tcW w:w="7539" w:type="dxa"/>
            <w:textDirection w:val="lrTb"/>
            <w:noWrap w:val="false"/>
          </w:tcPr>
          <w:p>
            <w:pPr>
              <w:pStyle w:val="1316"/>
            </w:pPr>
            <w:r>
              <w:t xml:space="preserve">Визуальная форма</w:t>
            </w:r>
            <w:r/>
          </w:p>
        </w:tc>
      </w:tr>
      <w:tr>
        <w:tblPrEx/>
        <w:trPr/>
        <w:tc>
          <w:tcPr>
            <w:tcW w:w="2155" w:type="dxa"/>
            <w:textDirection w:val="lrTb"/>
            <w:noWrap w:val="false"/>
          </w:tcPr>
          <w:p>
            <w:pPr>
              <w:pStyle w:val="1316"/>
            </w:pPr>
            <w:r>
              <w:t xml:space="preserve">ГВФ РФ</w:t>
            </w:r>
            <w:r/>
          </w:p>
        </w:tc>
        <w:tc>
          <w:tcPr>
            <w:tcW w:w="7539" w:type="dxa"/>
            <w:textDirection w:val="lrTb"/>
            <w:noWrap w:val="false"/>
          </w:tcPr>
          <w:p>
            <w:pPr>
              <w:pStyle w:val="1316"/>
            </w:pPr>
            <w:r>
              <w:t xml:space="preserve">Государственные внебюджетные фонды Российской Федерации (Фонд пенсионного и социального страхования Российской Федерации и Федеральный фонд обязательного медицинского страхования)</w:t>
            </w:r>
            <w:r/>
          </w:p>
        </w:tc>
      </w:tr>
      <w:tr>
        <w:tblPrEx/>
        <w:trPr/>
        <w:tc>
          <w:tcPr>
            <w:tcW w:w="2155" w:type="dxa"/>
            <w:textDirection w:val="lrTb"/>
            <w:noWrap w:val="false"/>
          </w:tcPr>
          <w:p>
            <w:pPr>
              <w:pStyle w:val="1316"/>
            </w:pPr>
            <w:r>
              <w:t xml:space="preserve">ГИИС «Электронный бюджет», ЭБ</w:t>
            </w:r>
            <w:r/>
          </w:p>
        </w:tc>
        <w:tc>
          <w:tcPr>
            <w:tcW w:w="7539" w:type="dxa"/>
            <w:textDirection w:val="lrTb"/>
            <w:noWrap w:val="false"/>
          </w:tcPr>
          <w:p>
            <w:pPr>
              <w:pStyle w:val="1316"/>
            </w:pPr>
            <w:r>
              <w:t xml:space="preserve">Государственная интегрированная информационная система управления общественными финансами «Электронный бюджет»</w:t>
            </w:r>
            <w:r/>
          </w:p>
        </w:tc>
      </w:tr>
      <w:tr>
        <w:tblPrEx/>
        <w:trPr/>
        <w:tc>
          <w:tcPr>
            <w:tcW w:w="2155" w:type="dxa"/>
            <w:textDirection w:val="lrTb"/>
            <w:noWrap w:val="false"/>
          </w:tcPr>
          <w:p>
            <w:pPr>
              <w:pStyle w:val="1316"/>
            </w:pPr>
            <w:r>
              <w:t xml:space="preserve">ГОСТ Р 34.10-2012</w:t>
            </w:r>
            <w:r/>
          </w:p>
        </w:tc>
        <w:tc>
          <w:tcPr>
            <w:tcW w:w="7539" w:type="dxa"/>
            <w:textDirection w:val="lrTb"/>
            <w:noWrap w:val="false"/>
          </w:tcPr>
          <w:p>
            <w:pPr>
              <w:pStyle w:val="1316"/>
            </w:pPr>
            <w:r>
              <w:t xml:space="preserve">Национальный стандарт Российской Федерации ГОСТ Р 34.10-2012 «Информационная технология. Криптографическая защита информации. Процессы формирования и проверки электронной цифровой подписи»</w:t>
            </w:r>
            <w:r/>
          </w:p>
        </w:tc>
      </w:tr>
      <w:tr>
        <w:tblPrEx/>
        <w:trPr/>
        <w:tc>
          <w:tcPr>
            <w:tcW w:w="2155" w:type="dxa"/>
            <w:textDirection w:val="lrTb"/>
            <w:noWrap w:val="false"/>
          </w:tcPr>
          <w:p>
            <w:pPr>
              <w:pStyle w:val="1316"/>
            </w:pPr>
            <w:r>
              <w:t xml:space="preserve">ГУП</w:t>
            </w:r>
            <w:r/>
          </w:p>
        </w:tc>
        <w:tc>
          <w:tcPr>
            <w:tcW w:w="7539" w:type="dxa"/>
            <w:textDirection w:val="lrTb"/>
            <w:noWrap w:val="false"/>
          </w:tcPr>
          <w:p>
            <w:pPr>
              <w:pStyle w:val="1316"/>
            </w:pPr>
            <w:r>
              <w:t xml:space="preserve">Государственное унитарное предприятие субъекта Российской Федерации</w:t>
            </w:r>
            <w:r/>
          </w:p>
        </w:tc>
      </w:tr>
      <w:tr>
        <w:tblPrEx/>
        <w:trPr/>
        <w:tc>
          <w:tcPr>
            <w:tcW w:w="2155" w:type="dxa"/>
            <w:textDirection w:val="lrTb"/>
            <w:noWrap w:val="false"/>
          </w:tcPr>
          <w:p>
            <w:pPr>
              <w:pStyle w:val="1316"/>
            </w:pPr>
            <w:r>
              <w:t xml:space="preserve">ЕБП</w:t>
            </w:r>
            <w:r/>
          </w:p>
        </w:tc>
        <w:tc>
          <w:tcPr>
            <w:tcW w:w="7539" w:type="dxa"/>
            <w:textDirection w:val="lrTb"/>
            <w:noWrap w:val="false"/>
          </w:tcPr>
          <w:p>
            <w:pPr>
              <w:pStyle w:val="1316"/>
            </w:pPr>
            <w:r>
              <w:t xml:space="preserve">Единая бюджетная платформа – Модуль бюджетного процесса в части казначейского обслуживания, а</w:t>
            </w:r>
            <w:r>
              <w:t xml:space="preserve"> также исполнения бюджетов субъектов Российской Федерации (местных бюджетов), государственных внебюджетных фондов подсистемы управления расходами государственной интегрированной информационной системы управления общественными финансами «Электронный бюджет»</w:t>
            </w:r>
            <w:r/>
          </w:p>
        </w:tc>
      </w:tr>
      <w:tr>
        <w:tblPrEx/>
        <w:trPr/>
        <w:tc>
          <w:tcPr>
            <w:tcW w:w="2155" w:type="dxa"/>
            <w:textDirection w:val="lrTb"/>
            <w:noWrap w:val="false"/>
          </w:tcPr>
          <w:p>
            <w:pPr>
              <w:pStyle w:val="1316"/>
            </w:pPr>
            <w:r>
              <w:t xml:space="preserve">ЕГРИП</w:t>
            </w:r>
            <w:r/>
          </w:p>
        </w:tc>
        <w:tc>
          <w:tcPr>
            <w:tcW w:w="7539" w:type="dxa"/>
            <w:textDirection w:val="lrTb"/>
            <w:noWrap w:val="false"/>
          </w:tcPr>
          <w:p>
            <w:pPr>
              <w:pStyle w:val="1316"/>
            </w:pPr>
            <w:r>
              <w:t xml:space="preserve">Единый государственный реестр индивидуальных предпринимателей</w:t>
            </w:r>
            <w:r/>
          </w:p>
        </w:tc>
      </w:tr>
      <w:tr>
        <w:tblPrEx/>
        <w:trPr/>
        <w:tc>
          <w:tcPr>
            <w:tcW w:w="2155" w:type="dxa"/>
            <w:textDirection w:val="lrTb"/>
            <w:noWrap w:val="false"/>
          </w:tcPr>
          <w:p>
            <w:pPr>
              <w:pStyle w:val="1316"/>
            </w:pPr>
            <w:r>
              <w:rPr>
                <w:szCs w:val="24"/>
              </w:rPr>
              <w:t xml:space="preserve">ЕГРЮЛ</w:t>
            </w:r>
            <w:r/>
          </w:p>
        </w:tc>
        <w:tc>
          <w:tcPr>
            <w:tcW w:w="7539" w:type="dxa"/>
            <w:textDirection w:val="lrTb"/>
            <w:noWrap w:val="false"/>
          </w:tcPr>
          <w:p>
            <w:pPr>
              <w:pStyle w:val="1316"/>
            </w:pPr>
            <w:r>
              <w:t xml:space="preserve">Единый государственный реестр юридических лиц</w:t>
            </w:r>
            <w:r/>
          </w:p>
        </w:tc>
      </w:tr>
      <w:tr>
        <w:tblPrEx/>
        <w:trPr/>
        <w:tc>
          <w:tcPr>
            <w:tcW w:w="2155" w:type="dxa"/>
            <w:textDirection w:val="lrTb"/>
            <w:noWrap w:val="false"/>
          </w:tcPr>
          <w:p>
            <w:pPr>
              <w:pStyle w:val="1316"/>
            </w:pPr>
            <w:r>
              <w:t xml:space="preserve">ЕИС</w:t>
            </w:r>
            <w:r/>
          </w:p>
        </w:tc>
        <w:tc>
          <w:tcPr>
            <w:tcW w:w="7539" w:type="dxa"/>
            <w:textDirection w:val="lrTb"/>
            <w:noWrap w:val="false"/>
          </w:tcPr>
          <w:p>
            <w:pPr>
              <w:pStyle w:val="1316"/>
            </w:pPr>
            <w:r>
              <w:t xml:space="preserve">Единая информационная система в сфере закупок</w:t>
            </w:r>
            <w:r/>
          </w:p>
        </w:tc>
      </w:tr>
      <w:tr>
        <w:tblPrEx/>
        <w:trPr/>
        <w:tc>
          <w:tcPr>
            <w:tcW w:w="2155" w:type="dxa"/>
            <w:textDirection w:val="lrTb"/>
            <w:noWrap w:val="false"/>
          </w:tcPr>
          <w:p>
            <w:pPr>
              <w:pStyle w:val="1316"/>
            </w:pPr>
            <w:r>
              <w:t xml:space="preserve">ЕКЦ</w:t>
            </w:r>
            <w:r/>
          </w:p>
        </w:tc>
        <w:tc>
          <w:tcPr>
            <w:tcW w:w="7539" w:type="dxa"/>
            <w:textDirection w:val="lrTb"/>
            <w:noWrap w:val="false"/>
          </w:tcPr>
          <w:p>
            <w:pPr>
              <w:pStyle w:val="1316"/>
            </w:pPr>
            <w:r>
              <w:t xml:space="preserve">Единый контактный центр</w:t>
            </w:r>
            <w:r/>
          </w:p>
        </w:tc>
      </w:tr>
      <w:tr>
        <w:tblPrEx/>
        <w:trPr/>
        <w:tc>
          <w:tcPr>
            <w:tcW w:w="2155" w:type="dxa"/>
            <w:textDirection w:val="lrTb"/>
            <w:noWrap w:val="false"/>
          </w:tcPr>
          <w:p>
            <w:pPr>
              <w:pStyle w:val="1316"/>
            </w:pPr>
            <w:r>
              <w:rPr>
                <w:szCs w:val="24"/>
              </w:rPr>
              <w:t xml:space="preserve">ЖЦ</w:t>
            </w:r>
            <w:r/>
          </w:p>
        </w:tc>
        <w:tc>
          <w:tcPr>
            <w:tcW w:w="7539" w:type="dxa"/>
            <w:textDirection w:val="lrTb"/>
            <w:noWrap w:val="false"/>
          </w:tcPr>
          <w:p>
            <w:pPr>
              <w:pStyle w:val="1316"/>
            </w:pPr>
            <w:r>
              <w:t xml:space="preserve">Жизненный цикл – описание возможных состояний (статусов) формуляра и переходов между ними</w:t>
            </w:r>
            <w:r/>
          </w:p>
        </w:tc>
      </w:tr>
      <w:tr>
        <w:tblPrEx/>
        <w:trPr/>
        <w:tc>
          <w:tcPr>
            <w:tcW w:w="2155" w:type="dxa"/>
            <w:textDirection w:val="lrTb"/>
            <w:noWrap w:val="false"/>
          </w:tcPr>
          <w:p>
            <w:pPr>
              <w:pStyle w:val="1316"/>
            </w:pPr>
            <w:r>
              <w:t xml:space="preserve">Заказчик</w:t>
            </w:r>
            <w:r/>
          </w:p>
        </w:tc>
        <w:tc>
          <w:tcPr>
            <w:tcW w:w="7539" w:type="dxa"/>
            <w:textDirection w:val="lrTb"/>
            <w:noWrap w:val="false"/>
          </w:tcPr>
          <w:p>
            <w:pPr>
              <w:pStyle w:val="1316"/>
            </w:pPr>
            <w:r>
              <w:t xml:space="preserve">Участник / неучастник бюджетного процесса, выполняющий функцию государственного заказчика (головного исполнителя) в рамках исполнения государственного контракта</w:t>
            </w:r>
            <w:r/>
          </w:p>
        </w:tc>
      </w:tr>
      <w:tr>
        <w:tblPrEx/>
        <w:trPr/>
        <w:tc>
          <w:tcPr>
            <w:tcW w:w="2155" w:type="dxa"/>
            <w:textDirection w:val="lrTb"/>
            <w:noWrap w:val="false"/>
          </w:tcPr>
          <w:p>
            <w:pPr>
              <w:pStyle w:val="1316"/>
            </w:pPr>
            <w:r>
              <w:t xml:space="preserve">ИГК</w:t>
            </w:r>
            <w:r/>
          </w:p>
        </w:tc>
        <w:tc>
          <w:tcPr>
            <w:tcW w:w="7539" w:type="dxa"/>
            <w:textDirection w:val="lrTb"/>
            <w:noWrap w:val="false"/>
          </w:tcPr>
          <w:p>
            <w:pPr>
              <w:pStyle w:val="1316"/>
            </w:pPr>
            <w:r>
              <w:t xml:space="preserve">Идентификатор государственного контракта</w:t>
            </w:r>
            <w:r/>
          </w:p>
        </w:tc>
      </w:tr>
      <w:tr>
        <w:tblPrEx/>
        <w:trPr/>
        <w:tc>
          <w:tcPr>
            <w:tcW w:w="2155" w:type="dxa"/>
            <w:textDirection w:val="lrTb"/>
            <w:noWrap w:val="false"/>
          </w:tcPr>
          <w:p>
            <w:pPr>
              <w:pStyle w:val="1316"/>
            </w:pPr>
            <w:r>
              <w:t xml:space="preserve">ИНН</w:t>
            </w:r>
            <w:r/>
          </w:p>
        </w:tc>
        <w:tc>
          <w:tcPr>
            <w:tcW w:w="7539" w:type="dxa"/>
            <w:textDirection w:val="lrTb"/>
            <w:noWrap w:val="false"/>
          </w:tcPr>
          <w:p>
            <w:pPr>
              <w:pStyle w:val="1316"/>
            </w:pPr>
            <w:r>
              <w:t xml:space="preserve">Идентификационный номер налогоплательщика</w:t>
            </w:r>
            <w:r/>
          </w:p>
        </w:tc>
      </w:tr>
      <w:tr>
        <w:tblPrEx/>
        <w:trPr/>
        <w:tc>
          <w:tcPr>
            <w:tcW w:w="2155" w:type="dxa"/>
            <w:textDirection w:val="lrTb"/>
            <w:noWrap w:val="false"/>
          </w:tcPr>
          <w:p>
            <w:pPr>
              <w:pStyle w:val="1316"/>
            </w:pPr>
            <w:r>
              <w:t xml:space="preserve">Интернет</w:t>
            </w:r>
            <w:r/>
          </w:p>
        </w:tc>
        <w:tc>
          <w:tcPr>
            <w:tcW w:w="7539" w:type="dxa"/>
            <w:textDirection w:val="lrTb"/>
            <w:noWrap w:val="false"/>
          </w:tcPr>
          <w:p>
            <w:pPr>
              <w:pStyle w:val="1316"/>
            </w:pPr>
            <w:r>
              <w:t xml:space="preserve">Всемирная система объединённых компьютерных сетей для хранения и передачи информации</w:t>
            </w:r>
            <w:r/>
          </w:p>
        </w:tc>
      </w:tr>
      <w:tr>
        <w:tblPrEx/>
        <w:trPr/>
        <w:tc>
          <w:tcPr>
            <w:tcW w:w="2155" w:type="dxa"/>
            <w:textDirection w:val="lrTb"/>
            <w:noWrap w:val="false"/>
          </w:tcPr>
          <w:p>
            <w:pPr>
              <w:pStyle w:val="1316"/>
            </w:pPr>
            <w:r>
              <w:rPr>
                <w:szCs w:val="24"/>
              </w:rPr>
              <w:t xml:space="preserve">ИП</w:t>
            </w:r>
            <w:r/>
          </w:p>
        </w:tc>
        <w:tc>
          <w:tcPr>
            <w:tcW w:w="7539" w:type="dxa"/>
            <w:textDirection w:val="lrTb"/>
            <w:noWrap w:val="false"/>
          </w:tcPr>
          <w:p>
            <w:pPr>
              <w:pStyle w:val="1316"/>
            </w:pPr>
            <w:r>
              <w:t xml:space="preserve">Индивидуальный предприниматель</w:t>
            </w:r>
            <w:r/>
          </w:p>
        </w:tc>
      </w:tr>
      <w:tr>
        <w:tblPrEx/>
        <w:trPr/>
        <w:tc>
          <w:tcPr>
            <w:tcW w:w="2155" w:type="dxa"/>
            <w:textDirection w:val="lrTb"/>
            <w:noWrap w:val="false"/>
          </w:tcPr>
          <w:p>
            <w:pPr>
              <w:pStyle w:val="1316"/>
            </w:pPr>
            <w:r>
              <w:t xml:space="preserve">ИС</w:t>
            </w:r>
            <w:r/>
          </w:p>
        </w:tc>
        <w:tc>
          <w:tcPr>
            <w:tcW w:w="7539" w:type="dxa"/>
            <w:textDirection w:val="lrTb"/>
            <w:noWrap w:val="false"/>
          </w:tcPr>
          <w:p>
            <w:pPr>
              <w:pStyle w:val="1316"/>
            </w:pPr>
            <w:r>
              <w:t xml:space="preserve">Информационная система</w:t>
            </w:r>
            <w:r/>
          </w:p>
        </w:tc>
      </w:tr>
      <w:tr>
        <w:tblPrEx/>
        <w:trPr/>
        <w:tc>
          <w:tcPr>
            <w:tcW w:w="2155" w:type="dxa"/>
            <w:textDirection w:val="lrTb"/>
            <w:noWrap w:val="false"/>
          </w:tcPr>
          <w:p>
            <w:pPr>
              <w:pStyle w:val="1316"/>
            </w:pPr>
            <w:r>
              <w:t xml:space="preserve">КБМК ПУДС ЭБ</w:t>
            </w:r>
            <w:r/>
          </w:p>
        </w:tc>
        <w:tc>
          <w:tcPr>
            <w:tcW w:w="7539" w:type="dxa"/>
            <w:textDirection w:val="lrTb"/>
            <w:noWrap w:val="false"/>
          </w:tcPr>
          <w:p>
            <w:pPr>
              <w:pStyle w:val="1316"/>
            </w:pPr>
            <w:r>
              <w:t xml:space="preserve">Компонент бюджетного мониторинга и контроля модуля осуществления бюджетных платежей и управлени</w:t>
            </w:r>
            <w:r>
              <w:t xml:space="preserve">я единым счетом федерального бюджета (соответствующих бюджетов бюджетной системы Российской Федерации) подсистемы управления денежными средствами государственной интегрированной информационной системы управления общественными финансами «Электронный бюджет»</w:t>
            </w:r>
            <w:r/>
          </w:p>
        </w:tc>
      </w:tr>
      <w:tr>
        <w:tblPrEx/>
        <w:trPr/>
        <w:tc>
          <w:tcPr>
            <w:tcW w:w="2155" w:type="dxa"/>
            <w:textDirection w:val="lrTb"/>
            <w:noWrap w:val="false"/>
          </w:tcPr>
          <w:p>
            <w:pPr>
              <w:pStyle w:val="1316"/>
            </w:pPr>
            <w:r>
              <w:rPr>
                <w:szCs w:val="24"/>
              </w:rPr>
              <w:t xml:space="preserve">КЛАДР</w:t>
            </w:r>
            <w:r/>
          </w:p>
        </w:tc>
        <w:tc>
          <w:tcPr>
            <w:tcW w:w="7539" w:type="dxa"/>
            <w:textDirection w:val="lrTb"/>
            <w:noWrap w:val="false"/>
          </w:tcPr>
          <w:p>
            <w:pPr>
              <w:pStyle w:val="1316"/>
            </w:pPr>
            <w:r>
              <w:t xml:space="preserve">Ведомственный классификатор адресов Российской Федерации. Ведется Фе</w:t>
            </w:r>
            <w:r>
              <w:t xml:space="preserve">деральной налоговой службой Российской Федерации</w:t>
            </w:r>
            <w:r/>
          </w:p>
        </w:tc>
      </w:tr>
      <w:tr>
        <w:tblPrEx/>
        <w:trPr/>
        <w:tc>
          <w:tcPr>
            <w:tcW w:w="2155" w:type="dxa"/>
            <w:textDirection w:val="lrTb"/>
            <w:noWrap w:val="false"/>
          </w:tcPr>
          <w:p>
            <w:pPr>
              <w:pStyle w:val="1316"/>
            </w:pPr>
            <w:r>
              <w:t xml:space="preserve">Клиент</w:t>
            </w:r>
            <w:r/>
          </w:p>
        </w:tc>
        <w:tc>
          <w:tcPr>
            <w:tcW w:w="7539" w:type="dxa"/>
            <w:textDirection w:val="lrTb"/>
            <w:noWrap w:val="false"/>
          </w:tcPr>
          <w:p>
            <w:pPr>
              <w:pStyle w:val="1316"/>
            </w:pPr>
            <w:r>
              <w:t xml:space="preserve">Участник бюджетног</w:t>
            </w:r>
            <w:r>
              <w:t xml:space="preserve">о процесса бюджетов бюджетной системы Российской Федерации, бюджетное (автономное) учреждение, получатель средств из бюджета, участник казначейского сопровождения, которым в установленном порядке открываются лицевые счета в органе Федерального казначейства</w:t>
            </w:r>
            <w:r/>
          </w:p>
        </w:tc>
      </w:tr>
      <w:tr>
        <w:tblPrEx/>
        <w:trPr/>
        <w:tc>
          <w:tcPr>
            <w:tcW w:w="2155" w:type="dxa"/>
            <w:textDirection w:val="lrTb"/>
            <w:noWrap w:val="false"/>
          </w:tcPr>
          <w:p>
            <w:pPr>
              <w:pStyle w:val="1316"/>
            </w:pPr>
            <w:r>
              <w:rPr>
                <w:szCs w:val="24"/>
              </w:rPr>
              <w:t xml:space="preserve">КОФК</w:t>
            </w:r>
            <w:r/>
          </w:p>
        </w:tc>
        <w:tc>
          <w:tcPr>
            <w:tcW w:w="7539" w:type="dxa"/>
            <w:textDirection w:val="lrTb"/>
            <w:noWrap w:val="false"/>
          </w:tcPr>
          <w:p>
            <w:pPr>
              <w:pStyle w:val="1316"/>
            </w:pPr>
            <w:r>
              <w:t xml:space="preserve">Классификатор органов Федерального казначейства</w:t>
            </w:r>
            <w:r/>
          </w:p>
        </w:tc>
      </w:tr>
      <w:tr>
        <w:tblPrEx/>
        <w:trPr/>
        <w:tc>
          <w:tcPr>
            <w:tcW w:w="2155" w:type="dxa"/>
            <w:textDirection w:val="lrTb"/>
            <w:noWrap w:val="false"/>
          </w:tcPr>
          <w:p>
            <w:pPr>
              <w:pStyle w:val="1316"/>
            </w:pPr>
            <w:r>
              <w:t xml:space="preserve">КПП</w:t>
            </w:r>
            <w:r/>
          </w:p>
        </w:tc>
        <w:tc>
          <w:tcPr>
            <w:tcW w:w="7539" w:type="dxa"/>
            <w:textDirection w:val="lrTb"/>
            <w:noWrap w:val="false"/>
          </w:tcPr>
          <w:p>
            <w:pPr>
              <w:pStyle w:val="1316"/>
            </w:pPr>
            <w:r>
              <w:t xml:space="preserve">Код причины постановки на налоговый учет</w:t>
            </w:r>
            <w:r/>
          </w:p>
        </w:tc>
      </w:tr>
      <w:tr>
        <w:tblPrEx/>
        <w:trPr/>
        <w:tc>
          <w:tcPr>
            <w:tcW w:w="2155" w:type="dxa"/>
            <w:textDirection w:val="lrTb"/>
            <w:noWrap w:val="false"/>
          </w:tcPr>
          <w:p>
            <w:pPr>
              <w:pStyle w:val="1316"/>
            </w:pPr>
            <w:r>
              <w:t xml:space="preserve">КриптоПро CSP</w:t>
            </w:r>
            <w:r/>
          </w:p>
        </w:tc>
        <w:tc>
          <w:tcPr>
            <w:tcW w:w="7539" w:type="dxa"/>
            <w:textDirection w:val="lrTb"/>
            <w:noWrap w:val="false"/>
          </w:tcPr>
          <w:p>
            <w:pPr>
              <w:pStyle w:val="1316"/>
            </w:pPr>
            <w:r>
              <w:t xml:space="preserve">Программный продукт общества с ограниченной ответственностью «Крипто-Про», позволяющий создавать юридически значимую электронную подпись и проверять ее подлинность в соответствии с Федеральным законом от 06.04.2011 № 63-ФЗ «Об электронной подписи»</w:t>
            </w:r>
            <w:r/>
          </w:p>
        </w:tc>
      </w:tr>
      <w:tr>
        <w:tblPrEx/>
        <w:trPr/>
        <w:tc>
          <w:tcPr>
            <w:tcW w:w="2155" w:type="dxa"/>
            <w:textDirection w:val="lrTb"/>
            <w:noWrap w:val="false"/>
          </w:tcPr>
          <w:p>
            <w:pPr>
              <w:pStyle w:val="1316"/>
            </w:pPr>
            <w:r>
              <w:rPr>
                <w:szCs w:val="24"/>
              </w:rPr>
              <w:t xml:space="preserve">КРЛС</w:t>
            </w:r>
            <w:r/>
          </w:p>
        </w:tc>
        <w:tc>
          <w:tcPr>
            <w:tcW w:w="7539" w:type="dxa"/>
            <w:textDirection w:val="lrTb"/>
            <w:noWrap w:val="false"/>
          </w:tcPr>
          <w:p>
            <w:pPr>
              <w:pStyle w:val="1316"/>
            </w:pPr>
            <w:r>
              <w:t xml:space="preserve">Справочник «ФК: Книга регистрации лицевых счетов»</w:t>
            </w:r>
            <w:r/>
          </w:p>
        </w:tc>
      </w:tr>
      <w:tr>
        <w:tblPrEx/>
        <w:trPr/>
        <w:tc>
          <w:tcPr>
            <w:tcW w:w="2155" w:type="dxa"/>
            <w:textDirection w:val="lrTb"/>
            <w:noWrap w:val="false"/>
          </w:tcPr>
          <w:p>
            <w:pPr>
              <w:pStyle w:val="1316"/>
            </w:pPr>
            <w:r>
              <w:rPr>
                <w:szCs w:val="24"/>
              </w:rPr>
              <w:t xml:space="preserve">КФХ</w:t>
            </w:r>
            <w:r/>
          </w:p>
        </w:tc>
        <w:tc>
          <w:tcPr>
            <w:tcW w:w="7539" w:type="dxa"/>
            <w:textDirection w:val="lrTb"/>
            <w:noWrap w:val="false"/>
          </w:tcPr>
          <w:p>
            <w:pPr>
              <w:pStyle w:val="1316"/>
            </w:pPr>
            <w:r>
              <w:t xml:space="preserve">Крестьянское (фермерское) хозяйство</w:t>
            </w:r>
            <w:r/>
          </w:p>
        </w:tc>
      </w:tr>
      <w:tr>
        <w:tblPrEx/>
        <w:trPr/>
        <w:tc>
          <w:tcPr>
            <w:tcW w:w="2155" w:type="dxa"/>
            <w:textDirection w:val="lrTb"/>
            <w:noWrap w:val="false"/>
          </w:tcPr>
          <w:p>
            <w:pPr>
              <w:pStyle w:val="1316"/>
            </w:pPr>
            <w:r>
              <w:t xml:space="preserve">л/с типа 41</w:t>
            </w:r>
            <w:r/>
          </w:p>
        </w:tc>
        <w:tc>
          <w:tcPr>
            <w:tcW w:w="7539" w:type="dxa"/>
            <w:textDirection w:val="lrTb"/>
            <w:noWrap w:val="false"/>
          </w:tcPr>
          <w:p>
            <w:pPr>
              <w:pStyle w:val="1316"/>
            </w:pPr>
            <w:r>
              <w:t xml:space="preserve">Лицевой счет для учета операций получателя средств из бюджета, открытый территориальным органом Федерального казначейства и предназначенный для учета операций со средствами получателя средств из бюджета</w:t>
            </w:r>
            <w:r/>
          </w:p>
        </w:tc>
      </w:tr>
      <w:tr>
        <w:tblPrEx/>
        <w:trPr/>
        <w:tc>
          <w:tcPr>
            <w:tcW w:w="2155" w:type="dxa"/>
            <w:textDirection w:val="lrTb"/>
            <w:noWrap w:val="false"/>
          </w:tcPr>
          <w:p>
            <w:pPr>
              <w:pStyle w:val="1316"/>
            </w:pPr>
            <w:r>
              <w:t xml:space="preserve">Лицевой счет с типом «71», ЛС «71», </w:t>
            </w:r>
            <w:r>
              <w:rPr>
                <w:rStyle w:val="1312"/>
                <w:b w:val="0"/>
                <w:szCs w:val="22"/>
              </w:rPr>
              <w:t xml:space="preserve">л/с «71»</w:t>
            </w:r>
            <w:r/>
          </w:p>
        </w:tc>
        <w:tc>
          <w:tcPr>
            <w:tcW w:w="7539" w:type="dxa"/>
            <w:textDirection w:val="lrTb"/>
            <w:noWrap w:val="false"/>
          </w:tcPr>
          <w:p>
            <w:pPr>
              <w:pStyle w:val="1316"/>
            </w:pPr>
            <w:r>
              <w:t xml:space="preserve">Лицевой счет, открытый территориальным органом Федерального казначейства и предназначенный для учета операций со средствами участников казначейского сопровождения</w:t>
            </w:r>
            <w:r/>
          </w:p>
        </w:tc>
      </w:tr>
      <w:tr>
        <w:tblPrEx/>
        <w:trPr/>
        <w:tc>
          <w:tcPr>
            <w:tcW w:w="2155" w:type="dxa"/>
            <w:textDirection w:val="lrTb"/>
            <w:noWrap w:val="false"/>
          </w:tcPr>
          <w:p>
            <w:pPr>
              <w:pStyle w:val="1316"/>
            </w:pPr>
            <w:r>
              <w:t xml:space="preserve">ЛК</w:t>
            </w:r>
            <w:r/>
          </w:p>
        </w:tc>
        <w:tc>
          <w:tcPr>
            <w:tcW w:w="7539" w:type="dxa"/>
            <w:textDirection w:val="lrTb"/>
            <w:noWrap w:val="false"/>
          </w:tcPr>
          <w:p>
            <w:pPr>
              <w:pStyle w:val="1316"/>
            </w:pPr>
            <w:r>
              <w:t xml:space="preserve">Личный кабинет пользователя. Компонент, предназначенный для обеспечения доступа пользователей к функциям и данным всех подсистем системы «Электронный бюджет» посредством web-интерфейса, в соответствии с полномочиями пользователя</w:t>
            </w:r>
            <w:r/>
          </w:p>
        </w:tc>
      </w:tr>
      <w:tr>
        <w:tblPrEx/>
        <w:trPr/>
        <w:tc>
          <w:tcPr>
            <w:tcW w:w="2155" w:type="dxa"/>
            <w:textDirection w:val="lrTb"/>
            <w:noWrap w:val="false"/>
          </w:tcPr>
          <w:p>
            <w:pPr>
              <w:pStyle w:val="1316"/>
            </w:pPr>
            <w:r>
              <w:t xml:space="preserve">ЛС, л/с</w:t>
            </w:r>
            <w:r/>
          </w:p>
        </w:tc>
        <w:tc>
          <w:tcPr>
            <w:tcW w:w="7539" w:type="dxa"/>
            <w:textDirection w:val="lrTb"/>
            <w:noWrap w:val="false"/>
          </w:tcPr>
          <w:p>
            <w:pPr>
              <w:pStyle w:val="1316"/>
            </w:pPr>
            <w:r>
              <w:t xml:space="preserve">Лицевой счет, открытый территориальным органом Федерального казначейства</w:t>
            </w:r>
            <w:r/>
          </w:p>
        </w:tc>
      </w:tr>
      <w:tr>
        <w:tblPrEx/>
        <w:trPr/>
        <w:tc>
          <w:tcPr>
            <w:tcW w:w="2155" w:type="dxa"/>
            <w:textDirection w:val="lrTb"/>
            <w:noWrap w:val="false"/>
          </w:tcPr>
          <w:p>
            <w:pPr>
              <w:pStyle w:val="1316"/>
            </w:pPr>
            <w:r>
              <w:t xml:space="preserve">Модуль ведения ЛС НСИ ЭБ</w:t>
            </w:r>
            <w:r/>
          </w:p>
        </w:tc>
        <w:tc>
          <w:tcPr>
            <w:tcW w:w="7539" w:type="dxa"/>
            <w:textDirection w:val="lrTb"/>
            <w:noWrap w:val="false"/>
          </w:tcPr>
          <w:p>
            <w:pPr>
              <w:pStyle w:val="1316"/>
            </w:pPr>
            <w:r>
              <w:t xml:space="preserve">Модуль ведения лицевых счетов подсистемы ведения нормативной справочной информации государственной интегрированной информационной системы управления общественными финансами «Электронный бюджет»</w:t>
            </w:r>
            <w:r/>
          </w:p>
        </w:tc>
      </w:tr>
      <w:tr>
        <w:tblPrEx/>
        <w:trPr/>
        <w:tc>
          <w:tcPr>
            <w:tcW w:w="2155" w:type="dxa"/>
            <w:textDirection w:val="lrTb"/>
            <w:noWrap w:val="false"/>
          </w:tcPr>
          <w:p>
            <w:pPr>
              <w:pStyle w:val="1316"/>
            </w:pPr>
            <w:r>
              <w:t xml:space="preserve">МОУ ФК</w:t>
            </w:r>
            <w:r/>
          </w:p>
        </w:tc>
        <w:tc>
          <w:tcPr>
            <w:tcW w:w="7539" w:type="dxa"/>
            <w:textDirection w:val="lrTb"/>
            <w:noWrap w:val="false"/>
          </w:tcPr>
          <w:p>
            <w:pPr>
              <w:pStyle w:val="1316"/>
            </w:pPr>
            <w:r>
              <w:t xml:space="preserve">Межрегиональное операционное управление Федерального казначейства</w:t>
            </w:r>
            <w:r/>
          </w:p>
        </w:tc>
      </w:tr>
      <w:tr>
        <w:tblPrEx/>
        <w:trPr/>
        <w:tc>
          <w:tcPr>
            <w:tcW w:w="2155" w:type="dxa"/>
            <w:textDirection w:val="lrTb"/>
            <w:noWrap w:val="false"/>
          </w:tcPr>
          <w:p>
            <w:pPr>
              <w:pStyle w:val="1316"/>
            </w:pPr>
            <w:r>
              <w:t xml:space="preserve">МУНСИ</w:t>
            </w:r>
            <w:r/>
          </w:p>
        </w:tc>
        <w:tc>
          <w:tcPr>
            <w:tcW w:w="7539" w:type="dxa"/>
            <w:textDirection w:val="lrTb"/>
            <w:noWrap w:val="false"/>
          </w:tcPr>
          <w:p>
            <w:pPr>
              <w:pStyle w:val="1316"/>
            </w:pPr>
            <w:r>
              <w:t xml:space="preserve">Модуль управления нормативно-справочной информацией</w:t>
            </w:r>
            <w:r/>
          </w:p>
        </w:tc>
      </w:tr>
      <w:tr>
        <w:tblPrEx/>
        <w:trPr/>
        <w:tc>
          <w:tcPr>
            <w:tcW w:w="2155" w:type="dxa"/>
            <w:textDirection w:val="lrTb"/>
            <w:noWrap w:val="false"/>
          </w:tcPr>
          <w:p>
            <w:pPr>
              <w:pStyle w:val="1316"/>
            </w:pPr>
            <w:r>
              <w:t xml:space="preserve">МУП</w:t>
            </w:r>
            <w:r/>
          </w:p>
        </w:tc>
        <w:tc>
          <w:tcPr>
            <w:tcW w:w="7539" w:type="dxa"/>
            <w:textDirection w:val="lrTb"/>
            <w:noWrap w:val="false"/>
          </w:tcPr>
          <w:p>
            <w:pPr>
              <w:pStyle w:val="1316"/>
            </w:pPr>
            <w:r>
              <w:t xml:space="preserve">Муниципальное унитарное предприятие</w:t>
            </w:r>
            <w:r/>
          </w:p>
        </w:tc>
      </w:tr>
      <w:tr>
        <w:tblPrEx/>
        <w:trPr/>
        <w:tc>
          <w:tcPr>
            <w:tcW w:w="2155" w:type="dxa"/>
            <w:textDirection w:val="lrTb"/>
            <w:noWrap w:val="false"/>
          </w:tcPr>
          <w:p>
            <w:pPr>
              <w:pStyle w:val="1316"/>
            </w:pPr>
            <w:r>
              <w:t xml:space="preserve">НПА</w:t>
            </w:r>
            <w:r/>
          </w:p>
        </w:tc>
        <w:tc>
          <w:tcPr>
            <w:tcW w:w="7539" w:type="dxa"/>
            <w:textDirection w:val="lrTb"/>
            <w:noWrap w:val="false"/>
          </w:tcPr>
          <w:p>
            <w:pPr>
              <w:pStyle w:val="1316"/>
            </w:pPr>
            <w:r>
              <w:t xml:space="preserve">Нормативный правовой акт</w:t>
            </w:r>
            <w:r/>
          </w:p>
        </w:tc>
      </w:tr>
      <w:tr>
        <w:tblPrEx/>
        <w:trPr/>
        <w:tc>
          <w:tcPr>
            <w:tcW w:w="2155" w:type="dxa"/>
            <w:textDirection w:val="lrTb"/>
            <w:noWrap w:val="false"/>
          </w:tcPr>
          <w:p>
            <w:pPr>
              <w:pStyle w:val="1316"/>
            </w:pPr>
            <w:r>
              <w:t xml:space="preserve">НСИ</w:t>
            </w:r>
            <w:r/>
          </w:p>
        </w:tc>
        <w:tc>
          <w:tcPr>
            <w:tcW w:w="7539" w:type="dxa"/>
            <w:textDirection w:val="lrTb"/>
            <w:noWrap w:val="false"/>
          </w:tcPr>
          <w:p>
            <w:pPr>
              <w:pStyle w:val="1316"/>
            </w:pPr>
            <w:r>
              <w:t xml:space="preserve">Нормативно-справочная информация</w:t>
            </w:r>
            <w:r/>
          </w:p>
        </w:tc>
      </w:tr>
      <w:tr>
        <w:tblPrEx/>
        <w:trPr/>
        <w:tc>
          <w:tcPr>
            <w:tcW w:w="2155" w:type="dxa"/>
            <w:textDirection w:val="lrTb"/>
            <w:noWrap w:val="false"/>
          </w:tcPr>
          <w:p>
            <w:pPr>
              <w:pStyle w:val="1316"/>
            </w:pPr>
            <w:r>
              <w:t xml:space="preserve">НУБП</w:t>
            </w:r>
            <w:r/>
          </w:p>
        </w:tc>
        <w:tc>
          <w:tcPr>
            <w:tcW w:w="7539" w:type="dxa"/>
            <w:textDirection w:val="lrTb"/>
            <w:noWrap w:val="false"/>
          </w:tcPr>
          <w:p>
            <w:pPr>
              <w:pStyle w:val="1316"/>
            </w:pPr>
            <w:r>
              <w:t xml:space="preserve">Неучастник бюджетного процесса – юридическое лицо, не являющееся участником бюджетного процесса, и его обособленное подразделение</w:t>
            </w:r>
            <w:r/>
          </w:p>
        </w:tc>
      </w:tr>
      <w:tr>
        <w:tblPrEx/>
        <w:trPr/>
        <w:tc>
          <w:tcPr>
            <w:tcW w:w="2155" w:type="dxa"/>
            <w:textDirection w:val="lrTb"/>
            <w:noWrap w:val="false"/>
          </w:tcPr>
          <w:p>
            <w:pPr>
              <w:pStyle w:val="1316"/>
            </w:pPr>
            <w:r>
              <w:t xml:space="preserve">ОГРН</w:t>
            </w:r>
            <w:r/>
          </w:p>
        </w:tc>
        <w:tc>
          <w:tcPr>
            <w:tcW w:w="7539" w:type="dxa"/>
            <w:textDirection w:val="lrTb"/>
            <w:noWrap w:val="false"/>
          </w:tcPr>
          <w:p>
            <w:pPr>
              <w:pStyle w:val="1316"/>
            </w:pPr>
            <w:r>
              <w:t xml:space="preserve">Основной государственный регистрационный номер – государственный регистрационный номер записи, вносимой в Единый государственный реестр юридических лиц</w:t>
            </w:r>
            <w:r/>
          </w:p>
        </w:tc>
      </w:tr>
      <w:tr>
        <w:tblPrEx/>
        <w:trPr/>
        <w:tc>
          <w:tcPr>
            <w:tcW w:w="2155" w:type="dxa"/>
            <w:textDirection w:val="lrTb"/>
            <w:noWrap w:val="false"/>
          </w:tcPr>
          <w:p>
            <w:pPr>
              <w:pStyle w:val="1316"/>
            </w:pPr>
            <w:r>
              <w:rPr>
                <w:szCs w:val="24"/>
              </w:rPr>
              <w:t xml:space="preserve">ОГРНИП</w:t>
            </w:r>
            <w:r/>
          </w:p>
        </w:tc>
        <w:tc>
          <w:tcPr>
            <w:tcW w:w="7539" w:type="dxa"/>
            <w:textDirection w:val="lrTb"/>
            <w:noWrap w:val="false"/>
          </w:tcPr>
          <w:p>
            <w:pPr>
              <w:pStyle w:val="1316"/>
            </w:pPr>
            <w:r>
              <w:t xml:space="preserve">Основной государственный регистрационный номер индивидуального предпринимателя – государственный регистрационный номер записи, вносимой в Единый государственный реестр индивидуальных предпринимателей</w:t>
            </w:r>
            <w:r/>
          </w:p>
        </w:tc>
      </w:tr>
      <w:tr>
        <w:tblPrEx/>
        <w:trPr/>
        <w:tc>
          <w:tcPr>
            <w:tcW w:w="2155" w:type="dxa"/>
            <w:textDirection w:val="lrTb"/>
            <w:noWrap w:val="false"/>
          </w:tcPr>
          <w:p>
            <w:pPr>
              <w:pStyle w:val="1316"/>
            </w:pPr>
            <w:r>
              <w:t xml:space="preserve">ОЗУ</w:t>
            </w:r>
            <w:r/>
          </w:p>
        </w:tc>
        <w:tc>
          <w:tcPr>
            <w:tcW w:w="7539" w:type="dxa"/>
            <w:textDirection w:val="lrTb"/>
            <w:noWrap w:val="false"/>
          </w:tcPr>
          <w:p>
            <w:pPr>
              <w:pStyle w:val="1316"/>
            </w:pPr>
            <w:r>
              <w:t xml:space="preserve">Оперативное запоминающее устройство</w:t>
            </w:r>
            <w:r/>
          </w:p>
        </w:tc>
      </w:tr>
      <w:tr>
        <w:tblPrEx/>
        <w:trPr/>
        <w:tc>
          <w:tcPr>
            <w:tcW w:w="2155" w:type="dxa"/>
            <w:textDirection w:val="lrTb"/>
            <w:noWrap w:val="false"/>
          </w:tcPr>
          <w:p>
            <w:pPr>
              <w:pStyle w:val="1316"/>
            </w:pPr>
            <w:r>
              <w:rPr>
                <w:szCs w:val="24"/>
              </w:rPr>
              <w:t xml:space="preserve">ОКАТО</w:t>
            </w:r>
            <w:r/>
          </w:p>
        </w:tc>
        <w:tc>
          <w:tcPr>
            <w:tcW w:w="7539" w:type="dxa"/>
            <w:textDirection w:val="lrTb"/>
            <w:noWrap w:val="false"/>
          </w:tcPr>
          <w:p>
            <w:pPr>
              <w:pStyle w:val="1316"/>
            </w:pPr>
            <w:r>
              <w:t xml:space="preserve">Общероссийский классификатор объектов административно-территориального деления</w:t>
            </w:r>
            <w:r/>
          </w:p>
        </w:tc>
      </w:tr>
      <w:tr>
        <w:tblPrEx/>
        <w:trPr/>
        <w:tc>
          <w:tcPr>
            <w:tcW w:w="2155" w:type="dxa"/>
            <w:textDirection w:val="lrTb"/>
            <w:noWrap w:val="false"/>
          </w:tcPr>
          <w:p>
            <w:pPr>
              <w:pStyle w:val="1316"/>
            </w:pPr>
            <w:r>
              <w:t xml:space="preserve">ОКПО</w:t>
            </w:r>
            <w:r/>
          </w:p>
        </w:tc>
        <w:tc>
          <w:tcPr>
            <w:tcW w:w="7539" w:type="dxa"/>
            <w:textDirection w:val="lrTb"/>
            <w:noWrap w:val="false"/>
          </w:tcPr>
          <w:p>
            <w:pPr>
              <w:pStyle w:val="1316"/>
            </w:pPr>
            <w:r>
              <w:t xml:space="preserve">Общероссийский классификатор предприятий и организаций</w:t>
            </w:r>
            <w:r/>
          </w:p>
        </w:tc>
      </w:tr>
      <w:tr>
        <w:tblPrEx/>
        <w:trPr/>
        <w:tc>
          <w:tcPr>
            <w:tcW w:w="2155" w:type="dxa"/>
            <w:textDirection w:val="lrTb"/>
            <w:noWrap w:val="false"/>
          </w:tcPr>
          <w:p>
            <w:pPr>
              <w:pStyle w:val="1316"/>
            </w:pPr>
            <w:r>
              <w:t xml:space="preserve">ОКТМО</w:t>
            </w:r>
            <w:r/>
          </w:p>
        </w:tc>
        <w:tc>
          <w:tcPr>
            <w:tcW w:w="7539" w:type="dxa"/>
            <w:textDirection w:val="lrTb"/>
            <w:noWrap w:val="false"/>
          </w:tcPr>
          <w:p>
            <w:pPr>
              <w:pStyle w:val="1316"/>
            </w:pPr>
            <w:r>
              <w:t xml:space="preserve">Общероссийский классификатор территорий муниципальных образований</w:t>
            </w:r>
            <w:r/>
          </w:p>
        </w:tc>
      </w:tr>
      <w:tr>
        <w:tblPrEx/>
        <w:trPr/>
        <w:tc>
          <w:tcPr>
            <w:tcW w:w="2155" w:type="dxa"/>
            <w:textDirection w:val="lrTb"/>
            <w:noWrap w:val="false"/>
          </w:tcPr>
          <w:p>
            <w:pPr>
              <w:pStyle w:val="1316"/>
            </w:pPr>
            <w:r>
              <w:rPr>
                <w:szCs w:val="24"/>
              </w:rPr>
              <w:t xml:space="preserve">ОМС</w:t>
            </w:r>
            <w:r/>
          </w:p>
        </w:tc>
        <w:tc>
          <w:tcPr>
            <w:tcW w:w="7539" w:type="dxa"/>
            <w:textDirection w:val="lrTb"/>
            <w:noWrap w:val="false"/>
          </w:tcPr>
          <w:p>
            <w:pPr>
              <w:pStyle w:val="1316"/>
            </w:pPr>
            <w:r>
              <w:t xml:space="preserve">Обязательное медицинское страхование</w:t>
            </w:r>
            <w:r/>
          </w:p>
        </w:tc>
      </w:tr>
      <w:tr>
        <w:tblPrEx/>
        <w:trPr/>
        <w:tc>
          <w:tcPr>
            <w:tcW w:w="2155" w:type="dxa"/>
            <w:textDirection w:val="lrTb"/>
            <w:noWrap w:val="false"/>
          </w:tcPr>
          <w:p>
            <w:pPr>
              <w:pStyle w:val="1316"/>
            </w:pPr>
            <w:r>
              <w:rPr>
                <w:szCs w:val="24"/>
              </w:rPr>
              <w:t xml:space="preserve">ОП</w:t>
            </w:r>
            <w:r/>
          </w:p>
        </w:tc>
        <w:tc>
          <w:tcPr>
            <w:tcW w:w="7539" w:type="dxa"/>
            <w:textDirection w:val="lrTb"/>
            <w:noWrap w:val="false"/>
          </w:tcPr>
          <w:p>
            <w:pPr>
              <w:pStyle w:val="1316"/>
            </w:pPr>
            <w:r>
              <w:t xml:space="preserve">Обособленное подразделение</w:t>
            </w:r>
            <w:r/>
          </w:p>
        </w:tc>
      </w:tr>
      <w:tr>
        <w:tblPrEx/>
        <w:trPr/>
        <w:tc>
          <w:tcPr>
            <w:tcW w:w="2155" w:type="dxa"/>
            <w:textDirection w:val="lrTb"/>
            <w:noWrap w:val="false"/>
          </w:tcPr>
          <w:p>
            <w:pPr>
              <w:pStyle w:val="1316"/>
            </w:pPr>
            <w:r>
              <w:t xml:space="preserve">ОрФК</w:t>
            </w:r>
            <w:r/>
          </w:p>
        </w:tc>
        <w:tc>
          <w:tcPr>
            <w:tcW w:w="7539" w:type="dxa"/>
            <w:textDirection w:val="lrTb"/>
            <w:noWrap w:val="false"/>
          </w:tcPr>
          <w:p>
            <w:pPr>
              <w:pStyle w:val="1316"/>
            </w:pPr>
            <w:r>
              <w:t xml:space="preserve">Орган Федерального казначейства</w:t>
            </w:r>
            <w:r/>
          </w:p>
        </w:tc>
      </w:tr>
      <w:tr>
        <w:tblPrEx/>
        <w:trPr/>
        <w:tc>
          <w:tcPr>
            <w:tcW w:w="2155" w:type="dxa"/>
            <w:textDirection w:val="lrTb"/>
            <w:noWrap w:val="false"/>
          </w:tcPr>
          <w:p>
            <w:pPr>
              <w:pStyle w:val="1316"/>
            </w:pPr>
            <w:r>
              <w:t xml:space="preserve">ОС</w:t>
            </w:r>
            <w:r/>
          </w:p>
        </w:tc>
        <w:tc>
          <w:tcPr>
            <w:tcW w:w="7539" w:type="dxa"/>
            <w:textDirection w:val="lrTb"/>
            <w:noWrap w:val="false"/>
          </w:tcPr>
          <w:p>
            <w:pPr>
              <w:pStyle w:val="1316"/>
            </w:pPr>
            <w:r>
              <w:t xml:space="preserve">Операционная система</w:t>
            </w:r>
            <w:r/>
          </w:p>
        </w:tc>
      </w:tr>
      <w:tr>
        <w:tblPrEx/>
        <w:trPr/>
        <w:tc>
          <w:tcPr>
            <w:tcW w:w="2155" w:type="dxa"/>
            <w:textDirection w:val="lrTb"/>
            <w:noWrap w:val="false"/>
          </w:tcPr>
          <w:p>
            <w:pPr>
              <w:pStyle w:val="1316"/>
            </w:pPr>
            <w:r>
              <w:rPr>
                <w:szCs w:val="24"/>
              </w:rPr>
              <w:t xml:space="preserve">ПБС</w:t>
            </w:r>
            <w:r/>
          </w:p>
        </w:tc>
        <w:tc>
          <w:tcPr>
            <w:tcW w:w="7539" w:type="dxa"/>
            <w:textDirection w:val="lrTb"/>
            <w:noWrap w:val="false"/>
          </w:tcPr>
          <w:p>
            <w:pPr>
              <w:pStyle w:val="1316"/>
            </w:pPr>
            <w:r>
              <w:t xml:space="preserve">Получатель бюджетных средств (получатель средств </w:t>
            </w:r>
            <w:r>
              <w:t xml:space="preserve">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находящееся в ведении главного распорядителя (распорядителя)</w:t>
            </w:r>
            <w:r>
              <w:t xml:space="preserve"> бюджетных средств казенное учреждение, имеющие право на принятие и (или) исполнение бюджетных обязательств от имени публично-правового образования за счет средств соответствующего бюджета, если иное не предусмотрено Бюджетным кодексом Российской Федерации</w:t>
            </w:r>
            <w:r/>
          </w:p>
        </w:tc>
      </w:tr>
      <w:tr>
        <w:tblPrEx/>
        <w:trPr/>
        <w:tc>
          <w:tcPr>
            <w:tcW w:w="2155" w:type="dxa"/>
            <w:textDirection w:val="lrTb"/>
            <w:noWrap w:val="false"/>
          </w:tcPr>
          <w:p>
            <w:pPr>
              <w:pStyle w:val="1316"/>
            </w:pPr>
            <w:r>
              <w:t xml:space="preserve">ПЗУ</w:t>
            </w:r>
            <w:r/>
          </w:p>
        </w:tc>
        <w:tc>
          <w:tcPr>
            <w:tcW w:w="7539" w:type="dxa"/>
            <w:textDirection w:val="lrTb"/>
            <w:noWrap w:val="false"/>
          </w:tcPr>
          <w:p>
            <w:pPr>
              <w:pStyle w:val="1316"/>
            </w:pPr>
            <w:r>
              <w:t xml:space="preserve">Постоянное запоминающее устройство</w:t>
            </w:r>
            <w:r/>
          </w:p>
        </w:tc>
      </w:tr>
      <w:tr>
        <w:tblPrEx/>
        <w:trPr/>
        <w:tc>
          <w:tcPr>
            <w:tcW w:w="2155" w:type="dxa"/>
            <w:textDirection w:val="lrTb"/>
            <w:noWrap w:val="false"/>
          </w:tcPr>
          <w:p>
            <w:pPr>
              <w:pStyle w:val="1316"/>
            </w:pPr>
            <w:r>
              <w:t xml:space="preserve">Платежный центр</w:t>
            </w:r>
            <w:r/>
          </w:p>
        </w:tc>
        <w:tc>
          <w:tcPr>
            <w:tcW w:w="7539" w:type="dxa"/>
            <w:textDirection w:val="lrTb"/>
            <w:noWrap w:val="false"/>
          </w:tcPr>
          <w:p>
            <w:pPr>
              <w:pStyle w:val="1316"/>
            </w:pPr>
            <w:r>
              <w:t xml:space="preserve">Территориальный орган Федерального казначейства, осуществляющий исполнение распоряжений о перечислении участников системы казначейских платежей, составление и представление в Центральный бан</w:t>
            </w:r>
            <w:r>
              <w:t xml:space="preserve">к Российской Федерации, кредитные организации распоряжений о переводе денежных средств с банковских счетов, обслуживаемых в соответствии с Бюджетным кодексом Российской Федерации, взаимодействие с операторами услуг платежной инфраструктуры платежных систем</w:t>
            </w:r>
            <w:r/>
          </w:p>
        </w:tc>
      </w:tr>
      <w:tr>
        <w:tblPrEx/>
        <w:trPr/>
        <w:tc>
          <w:tcPr>
            <w:tcW w:w="2155" w:type="dxa"/>
            <w:textDirection w:val="lrTb"/>
            <w:noWrap w:val="false"/>
          </w:tcPr>
          <w:p>
            <w:pPr>
              <w:pStyle w:val="1316"/>
            </w:pPr>
            <w:r>
              <w:t xml:space="preserve">ПО</w:t>
            </w:r>
            <w:r/>
          </w:p>
        </w:tc>
        <w:tc>
          <w:tcPr>
            <w:tcW w:w="7539" w:type="dxa"/>
            <w:textDirection w:val="lrTb"/>
            <w:noWrap w:val="false"/>
          </w:tcPr>
          <w:p>
            <w:pPr>
              <w:pStyle w:val="1316"/>
            </w:pPr>
            <w:r>
              <w:t xml:space="preserve">Программное обеспечение</w:t>
            </w:r>
            <w:r/>
          </w:p>
        </w:tc>
      </w:tr>
      <w:tr>
        <w:tblPrEx/>
        <w:trPr/>
        <w:tc>
          <w:tcPr>
            <w:tcW w:w="2155" w:type="dxa"/>
            <w:textDirection w:val="lrTb"/>
            <w:noWrap w:val="false"/>
          </w:tcPr>
          <w:p>
            <w:pPr>
              <w:pStyle w:val="1316"/>
            </w:pPr>
            <w:r>
              <w:t xml:space="preserve">Подсистема НСИ ГИИС «Электронный бюджет», Подсистема НСИ ЭБ, НСИ ЭБ</w:t>
            </w:r>
            <w:r/>
          </w:p>
        </w:tc>
        <w:tc>
          <w:tcPr>
            <w:tcW w:w="7539" w:type="dxa"/>
            <w:textDirection w:val="lrTb"/>
            <w:noWrap w:val="false"/>
          </w:tcPr>
          <w:p>
            <w:pPr>
              <w:pStyle w:val="1316"/>
            </w:pPr>
            <w:r>
              <w:t xml:space="preserve">Подсистема ведения нормативной справочной информации государственной интегрированной информационной системы управления общественными финансами «Электронный бюджет»</w:t>
            </w:r>
            <w:r/>
          </w:p>
        </w:tc>
      </w:tr>
      <w:tr>
        <w:tblPrEx/>
        <w:trPr/>
        <w:tc>
          <w:tcPr>
            <w:tcW w:w="2155" w:type="dxa"/>
            <w:textDirection w:val="lrTb"/>
            <w:noWrap w:val="false"/>
          </w:tcPr>
          <w:p>
            <w:pPr>
              <w:pStyle w:val="1316"/>
            </w:pPr>
            <w:r>
              <w:rPr>
                <w:szCs w:val="24"/>
              </w:rPr>
              <w:t xml:space="preserve">ПОИБ СОБИ ФК</w:t>
            </w:r>
            <w:r/>
          </w:p>
        </w:tc>
        <w:tc>
          <w:tcPr>
            <w:tcW w:w="7539" w:type="dxa"/>
            <w:textDirection w:val="lrTb"/>
            <w:noWrap w:val="false"/>
          </w:tcPr>
          <w:p>
            <w:pPr>
              <w:pStyle w:val="1316"/>
            </w:pPr>
            <w:r>
              <w:t xml:space="preserve">Подсистема обеспечения информационной безопасности Системы обеспечения безопасности информации Федерального казначейства</w:t>
            </w:r>
            <w:r/>
          </w:p>
        </w:tc>
      </w:tr>
      <w:tr>
        <w:tblPrEx/>
        <w:trPr/>
        <w:tc>
          <w:tcPr>
            <w:tcW w:w="2155" w:type="dxa"/>
            <w:textDirection w:val="lrTb"/>
            <w:noWrap w:val="false"/>
          </w:tcPr>
          <w:p>
            <w:pPr>
              <w:pStyle w:val="1316"/>
            </w:pPr>
            <w:r>
              <w:t xml:space="preserve">ППО</w:t>
            </w:r>
            <w:r/>
          </w:p>
        </w:tc>
        <w:tc>
          <w:tcPr>
            <w:tcW w:w="7539" w:type="dxa"/>
            <w:textDirection w:val="lrTb"/>
            <w:noWrap w:val="false"/>
          </w:tcPr>
          <w:p>
            <w:pPr>
              <w:pStyle w:val="1316"/>
            </w:pPr>
            <w:r>
              <w:t xml:space="preserve">Прикладное программное обеспечение</w:t>
            </w:r>
            <w:r/>
          </w:p>
        </w:tc>
      </w:tr>
      <w:tr>
        <w:tblPrEx/>
        <w:trPr/>
        <w:tc>
          <w:tcPr>
            <w:tcW w:w="2155" w:type="dxa"/>
            <w:textDirection w:val="lrTb"/>
            <w:noWrap w:val="false"/>
          </w:tcPr>
          <w:p>
            <w:pPr>
              <w:pStyle w:val="1316"/>
            </w:pPr>
            <w:r>
              <w:t xml:space="preserve">ПУР КС</w:t>
            </w:r>
            <w:r/>
          </w:p>
        </w:tc>
        <w:tc>
          <w:tcPr>
            <w:tcW w:w="7539" w:type="dxa"/>
            <w:textDirection w:val="lrTb"/>
            <w:noWrap w:val="false"/>
          </w:tcPr>
          <w:p>
            <w:pPr>
              <w:pStyle w:val="1316"/>
            </w:pPr>
            <w:r>
              <w:t xml:space="preserve">Подсистема управления расходами государственной интегрированной информационной системы управления общественными финансами «Электронный бюджет» в части казначейского сопровождения</w:t>
            </w:r>
            <w:r/>
          </w:p>
        </w:tc>
      </w:tr>
      <w:tr>
        <w:tblPrEx/>
        <w:trPr/>
        <w:tc>
          <w:tcPr>
            <w:tcW w:w="2155" w:type="dxa"/>
            <w:textDirection w:val="lrTb"/>
            <w:noWrap w:val="false"/>
          </w:tcPr>
          <w:p>
            <w:pPr>
              <w:pStyle w:val="1316"/>
            </w:pPr>
            <w:r>
              <w:t xml:space="preserve">Реестр ИП и КФХ</w:t>
            </w:r>
            <w:r/>
          </w:p>
        </w:tc>
        <w:tc>
          <w:tcPr>
            <w:tcW w:w="7539" w:type="dxa"/>
            <w:textDirection w:val="lrTb"/>
            <w:noWrap w:val="false"/>
          </w:tcPr>
          <w:p>
            <w:pPr>
              <w:pStyle w:val="1316"/>
            </w:pPr>
            <w:r>
              <w:t xml:space="preserve">Реестр индивидуальных предпринимателей и крестьянских (фермерских) хозяйств</w:t>
            </w:r>
            <w:r/>
          </w:p>
        </w:tc>
      </w:tr>
      <w:tr>
        <w:tblPrEx/>
        <w:trPr/>
        <w:tc>
          <w:tcPr>
            <w:tcW w:w="2155" w:type="dxa"/>
            <w:textDirection w:val="lrTb"/>
            <w:noWrap w:val="false"/>
          </w:tcPr>
          <w:p>
            <w:pPr>
              <w:pStyle w:val="1316"/>
            </w:pPr>
            <w:r>
              <w:rPr>
                <w:szCs w:val="24"/>
              </w:rPr>
              <w:t xml:space="preserve">РФМ, Росфинмониторинг</w:t>
            </w:r>
            <w:r/>
          </w:p>
        </w:tc>
        <w:tc>
          <w:tcPr>
            <w:tcW w:w="7539" w:type="dxa"/>
            <w:textDirection w:val="lrTb"/>
            <w:noWrap w:val="false"/>
          </w:tcPr>
          <w:p>
            <w:pPr>
              <w:pStyle w:val="1316"/>
            </w:pPr>
            <w:r>
              <w:t xml:space="preserve">Федеральная служба по финансовому мониторингу</w:t>
            </w:r>
            <w:r/>
          </w:p>
        </w:tc>
      </w:tr>
      <w:tr>
        <w:tblPrEx/>
        <w:trPr/>
        <w:tc>
          <w:tcPr>
            <w:tcW w:w="2155" w:type="dxa"/>
            <w:textDirection w:val="lrTb"/>
            <w:noWrap w:val="false"/>
          </w:tcPr>
          <w:p>
            <w:pPr>
              <w:pStyle w:val="1316"/>
            </w:pPr>
            <w:r>
              <w:t xml:space="preserve">РЦ</w:t>
            </w:r>
            <w:r/>
          </w:p>
        </w:tc>
        <w:tc>
          <w:tcPr>
            <w:tcW w:w="7539" w:type="dxa"/>
            <w:textDirection w:val="lrTb"/>
            <w:noWrap w:val="false"/>
          </w:tcPr>
          <w:p>
            <w:pPr>
              <w:pStyle w:val="1316"/>
            </w:pPr>
            <w:r>
              <w:t xml:space="preserve">Расчетный центр – Территориальный орган Федерального казначейства, определенный как центр специализации по расчетам</w:t>
            </w:r>
            <w:r/>
          </w:p>
        </w:tc>
      </w:tr>
      <w:tr>
        <w:tblPrEx/>
        <w:trPr/>
        <w:tc>
          <w:tcPr>
            <w:tcW w:w="2155" w:type="dxa"/>
            <w:textDirection w:val="lrTb"/>
            <w:noWrap w:val="false"/>
          </w:tcPr>
          <w:p>
            <w:pPr>
              <w:pStyle w:val="1316"/>
            </w:pPr>
            <w:r>
              <w:rPr>
                <w:szCs w:val="24"/>
              </w:rPr>
              <w:t xml:space="preserve">САВЗ</w:t>
            </w:r>
            <w:r/>
          </w:p>
        </w:tc>
        <w:tc>
          <w:tcPr>
            <w:tcW w:w="7539" w:type="dxa"/>
            <w:textDirection w:val="lrTb"/>
            <w:noWrap w:val="false"/>
          </w:tcPr>
          <w:p>
            <w:pPr>
              <w:pStyle w:val="1316"/>
            </w:pPr>
            <w:r>
              <w:t xml:space="preserve">Средства антивирусной защиты</w:t>
            </w:r>
            <w:r/>
          </w:p>
        </w:tc>
      </w:tr>
      <w:tr>
        <w:tblPrEx/>
        <w:trPr/>
        <w:tc>
          <w:tcPr>
            <w:tcW w:w="2155" w:type="dxa"/>
            <w:textDirection w:val="lrTb"/>
            <w:noWrap w:val="false"/>
          </w:tcPr>
          <w:p>
            <w:pPr>
              <w:pStyle w:val="1316"/>
              <w:rPr>
                <w:szCs w:val="24"/>
              </w:rPr>
            </w:pPr>
            <w:r>
              <w:t xml:space="preserve">Саморегистрирующийся Клиент</w:t>
            </w:r>
            <w:r>
              <w:rPr>
                <w:szCs w:val="24"/>
              </w:rPr>
            </w:r>
          </w:p>
        </w:tc>
        <w:tc>
          <w:tcPr>
            <w:tcW w:w="7539" w:type="dxa"/>
            <w:textDirection w:val="lrTb"/>
            <w:noWrap w:val="false"/>
          </w:tcPr>
          <w:p>
            <w:pPr>
              <w:pStyle w:val="1316"/>
            </w:pPr>
            <w:r>
              <w:rPr>
                <w:szCs w:val="24"/>
              </w:rPr>
              <w:t xml:space="preserve">Иная организация, ИП или КФХ, не включенная в справочник «Сводный реестр» или «Реестр ИП и КФХ» НСИ ЭБ, но зарегистрированная в ПОИБ СОБИ ФК</w:t>
            </w:r>
            <w:r/>
          </w:p>
        </w:tc>
      </w:tr>
      <w:tr>
        <w:tblPrEx/>
        <w:trPr/>
        <w:tc>
          <w:tcPr>
            <w:tcW w:w="2155" w:type="dxa"/>
            <w:textDirection w:val="lrTb"/>
            <w:noWrap w:val="false"/>
          </w:tcPr>
          <w:p>
            <w:pPr>
              <w:pStyle w:val="1316"/>
            </w:pPr>
            <w:r>
              <w:t xml:space="preserve">Сводный реестр, СвР, СР</w:t>
            </w:r>
            <w:r/>
          </w:p>
        </w:tc>
        <w:tc>
          <w:tcPr>
            <w:tcW w:w="7539" w:type="dxa"/>
            <w:textDirection w:val="lrTb"/>
            <w:noWrap w:val="false"/>
          </w:tcPr>
          <w:p>
            <w:pPr>
              <w:pStyle w:val="1316"/>
            </w:pPr>
            <w:r>
              <w:t xml:space="preserve">Реестр участников бюджетного процесса, а также юридических лиц, не являющихся участниками бюджетного процесса</w:t>
            </w:r>
            <w:r/>
          </w:p>
        </w:tc>
      </w:tr>
      <w:tr>
        <w:tblPrEx/>
        <w:trPr/>
        <w:tc>
          <w:tcPr>
            <w:tcW w:w="2155" w:type="dxa"/>
            <w:textDirection w:val="lrTb"/>
            <w:noWrap w:val="false"/>
          </w:tcPr>
          <w:p>
            <w:pPr>
              <w:pStyle w:val="1316"/>
              <w:rPr>
                <w:szCs w:val="24"/>
              </w:rPr>
            </w:pPr>
            <w:r>
              <w:t xml:space="preserve">СВТ</w:t>
            </w:r>
            <w:r>
              <w:rPr>
                <w:szCs w:val="24"/>
              </w:rPr>
            </w:r>
          </w:p>
        </w:tc>
        <w:tc>
          <w:tcPr>
            <w:tcW w:w="7539" w:type="dxa"/>
            <w:textDirection w:val="lrTb"/>
            <w:noWrap w:val="false"/>
          </w:tcPr>
          <w:p>
            <w:pPr>
              <w:pStyle w:val="1316"/>
            </w:pPr>
            <w:r>
              <w:t xml:space="preserve">Средство вычислительной техники</w:t>
            </w:r>
            <w:r/>
          </w:p>
        </w:tc>
      </w:tr>
      <w:tr>
        <w:tblPrEx/>
        <w:trPr/>
        <w:tc>
          <w:tcPr>
            <w:tcW w:w="2155" w:type="dxa"/>
            <w:textDirection w:val="lrTb"/>
            <w:noWrap w:val="false"/>
          </w:tcPr>
          <w:p>
            <w:pPr>
              <w:pStyle w:val="1316"/>
            </w:pPr>
            <w:r>
              <w:t xml:space="preserve">СКЗИ</w:t>
            </w:r>
            <w:r/>
          </w:p>
        </w:tc>
        <w:tc>
          <w:tcPr>
            <w:tcW w:w="7539" w:type="dxa"/>
            <w:textDirection w:val="lrTb"/>
            <w:noWrap w:val="false"/>
          </w:tcPr>
          <w:p>
            <w:pPr>
              <w:pStyle w:val="1316"/>
            </w:pPr>
            <w:r>
              <w:t xml:space="preserve">Средство криптографической защиты информации</w:t>
            </w:r>
            <w:r/>
          </w:p>
        </w:tc>
      </w:tr>
      <w:tr>
        <w:tblPrEx/>
        <w:trPr/>
        <w:tc>
          <w:tcPr>
            <w:tcW w:w="2155" w:type="dxa"/>
            <w:textDirection w:val="lrTb"/>
            <w:noWrap w:val="false"/>
          </w:tcPr>
          <w:p>
            <w:pPr>
              <w:pStyle w:val="1316"/>
            </w:pPr>
            <w:r>
              <w:t xml:space="preserve">СМЭВ</w:t>
            </w:r>
            <w:r/>
          </w:p>
        </w:tc>
        <w:tc>
          <w:tcPr>
            <w:tcW w:w="7539" w:type="dxa"/>
            <w:textDirection w:val="lrTb"/>
            <w:noWrap w:val="false"/>
          </w:tcPr>
          <w:p>
            <w:pPr>
              <w:pStyle w:val="1316"/>
            </w:pPr>
            <w:r>
              <w:t xml:space="preserve">Система межведомственного электронного взаимодействия</w:t>
            </w:r>
            <w:r/>
          </w:p>
        </w:tc>
      </w:tr>
      <w:tr>
        <w:tblPrEx/>
        <w:trPr/>
        <w:tc>
          <w:tcPr>
            <w:tcW w:w="2155" w:type="dxa"/>
            <w:textDirection w:val="lrTb"/>
            <w:noWrap w:val="false"/>
          </w:tcPr>
          <w:p>
            <w:pPr>
              <w:pStyle w:val="1316"/>
            </w:pPr>
            <w:r>
              <w:t xml:space="preserve">СНИЛС</w:t>
            </w:r>
            <w:r/>
          </w:p>
        </w:tc>
        <w:tc>
          <w:tcPr>
            <w:tcW w:w="7539" w:type="dxa"/>
            <w:textDirection w:val="lrTb"/>
            <w:noWrap w:val="false"/>
          </w:tcPr>
          <w:p>
            <w:pPr>
              <w:pStyle w:val="1316"/>
            </w:pPr>
            <w:r>
              <w:t xml:space="preserve">Страховой номер индивидуального лицевого счета</w:t>
            </w:r>
            <w:r/>
          </w:p>
        </w:tc>
      </w:tr>
      <w:tr>
        <w:tblPrEx/>
        <w:trPr/>
        <w:tc>
          <w:tcPr>
            <w:tcW w:w="2155" w:type="dxa"/>
            <w:textDirection w:val="lrTb"/>
            <w:noWrap w:val="false"/>
          </w:tcPr>
          <w:p>
            <w:pPr>
              <w:pStyle w:val="1316"/>
            </w:pPr>
            <w:r>
              <w:t xml:space="preserve">СрЗИ</w:t>
            </w:r>
            <w:r/>
          </w:p>
        </w:tc>
        <w:tc>
          <w:tcPr>
            <w:tcW w:w="7539" w:type="dxa"/>
            <w:textDirection w:val="lrTb"/>
            <w:noWrap w:val="false"/>
          </w:tcPr>
          <w:p>
            <w:pPr>
              <w:pStyle w:val="1316"/>
            </w:pPr>
            <w:r>
              <w:t xml:space="preserve">Средство защиты информации</w:t>
            </w:r>
            <w:r/>
          </w:p>
        </w:tc>
      </w:tr>
      <w:tr>
        <w:tblPrEx/>
        <w:trPr/>
        <w:tc>
          <w:tcPr>
            <w:tcW w:w="2155" w:type="dxa"/>
            <w:textDirection w:val="lrTb"/>
            <w:noWrap w:val="false"/>
          </w:tcPr>
          <w:p>
            <w:pPr>
              <w:pStyle w:val="1316"/>
            </w:pPr>
            <w:r>
              <w:rPr>
                <w:szCs w:val="24"/>
              </w:rPr>
              <w:t xml:space="preserve">Субъект РФ</w:t>
            </w:r>
            <w:r/>
          </w:p>
        </w:tc>
        <w:tc>
          <w:tcPr>
            <w:tcW w:w="7539" w:type="dxa"/>
            <w:textDirection w:val="lrTb"/>
            <w:noWrap w:val="false"/>
          </w:tcPr>
          <w:p>
            <w:pPr>
              <w:pStyle w:val="1316"/>
            </w:pPr>
            <w:r>
              <w:t xml:space="preserve">Субъект Российской Федерации</w:t>
            </w:r>
            <w:r/>
          </w:p>
        </w:tc>
      </w:tr>
      <w:tr>
        <w:tblPrEx/>
        <w:trPr/>
        <w:tc>
          <w:tcPr>
            <w:tcW w:w="2155" w:type="dxa"/>
            <w:textDirection w:val="lrTb"/>
            <w:noWrap w:val="false"/>
          </w:tcPr>
          <w:p>
            <w:pPr>
              <w:pStyle w:val="1316"/>
            </w:pPr>
            <w:r>
              <w:t xml:space="preserve">СУЭ</w:t>
            </w:r>
            <w:r/>
          </w:p>
        </w:tc>
        <w:tc>
          <w:tcPr>
            <w:tcW w:w="7539" w:type="dxa"/>
            <w:textDirection w:val="lrTb"/>
            <w:noWrap w:val="false"/>
          </w:tcPr>
          <w:p>
            <w:pPr>
              <w:pStyle w:val="1316"/>
            </w:pPr>
            <w:r>
              <w:t xml:space="preserve">Система управления эксплуатацией</w:t>
            </w:r>
            <w:r/>
          </w:p>
        </w:tc>
      </w:tr>
      <w:tr>
        <w:tblPrEx/>
        <w:trPr/>
        <w:tc>
          <w:tcPr>
            <w:tcW w:w="2155" w:type="dxa"/>
            <w:textDirection w:val="lrTb"/>
            <w:noWrap w:val="false"/>
          </w:tcPr>
          <w:p>
            <w:pPr>
              <w:pStyle w:val="1316"/>
            </w:pPr>
            <w:r>
              <w:rPr>
                <w:szCs w:val="24"/>
              </w:rPr>
              <w:t xml:space="preserve">СФ</w:t>
            </w:r>
            <w:r/>
          </w:p>
        </w:tc>
        <w:tc>
          <w:tcPr>
            <w:tcW w:w="7539" w:type="dxa"/>
            <w:textDirection w:val="lrTb"/>
            <w:noWrap w:val="false"/>
          </w:tcPr>
          <w:p>
            <w:pPr>
              <w:pStyle w:val="1316"/>
            </w:pPr>
            <w:r>
              <w:t xml:space="preserve">Списковая форма</w:t>
            </w:r>
            <w:r/>
          </w:p>
        </w:tc>
      </w:tr>
      <w:tr>
        <w:tblPrEx/>
        <w:trPr/>
        <w:tc>
          <w:tcPr>
            <w:tcW w:w="2155" w:type="dxa"/>
            <w:textDirection w:val="lrTb"/>
            <w:noWrap w:val="false"/>
          </w:tcPr>
          <w:p>
            <w:pPr>
              <w:pStyle w:val="1316"/>
            </w:pPr>
            <w:r>
              <w:t xml:space="preserve">ТОФК</w:t>
            </w:r>
            <w:r/>
          </w:p>
        </w:tc>
        <w:tc>
          <w:tcPr>
            <w:tcW w:w="7539" w:type="dxa"/>
            <w:textDirection w:val="lrTb"/>
            <w:noWrap w:val="false"/>
          </w:tcPr>
          <w:p>
            <w:pPr>
              <w:pStyle w:val="1316"/>
            </w:pPr>
            <w:r>
              <w:t xml:space="preserve">Территориальный орган Федерального казначейства. К территориальным органам Федерального казначейства относятся – Межрегиональн</w:t>
            </w:r>
            <w:r>
              <w:t xml:space="preserve">ое операционное управление Федерального казначейства, Межрегиональное бухгалтерское управление Федерального казначейства, Межрегиональное контрольно-ревизионное управление Федерального казначейства, Межрегиональное управление Федерального казначейства в сф</w:t>
            </w:r>
            <w:r>
              <w:t xml:space="preserve">ере управления ликвидностью, Межрегиональное управление Федерального казначейства по централизованной обработке данных, Межрегиональное контрактное управление Федерального казначейства, управления Федерального казначейства по субъектам Российской Федерации</w:t>
            </w:r>
            <w:r/>
          </w:p>
        </w:tc>
      </w:tr>
      <w:tr>
        <w:tblPrEx/>
        <w:trPr/>
        <w:tc>
          <w:tcPr>
            <w:tcW w:w="2155" w:type="dxa"/>
            <w:textDirection w:val="lrTb"/>
            <w:noWrap w:val="false"/>
          </w:tcPr>
          <w:p>
            <w:pPr>
              <w:pStyle w:val="1316"/>
            </w:pPr>
            <w:r>
              <w:t xml:space="preserve">УБП</w:t>
            </w:r>
            <w:r/>
          </w:p>
        </w:tc>
        <w:tc>
          <w:tcPr>
            <w:tcW w:w="7539" w:type="dxa"/>
            <w:textDirection w:val="lrTb"/>
            <w:noWrap w:val="false"/>
          </w:tcPr>
          <w:p>
            <w:pPr>
              <w:pStyle w:val="1316"/>
            </w:pPr>
            <w:r>
              <w:t xml:space="preserve">Участник бюджетного процесса – главный распорядитель бюджетных средств, распорядитель бюджетных средств, получатель бюджетных средств; иной получатель бюджетных средств; главный ад</w:t>
            </w:r>
            <w:r>
              <w:t xml:space="preserve">министратор доходов бюджета, администратор доходов бюджета с полномочиями главного администратора, администратор доходов бюджета; главный администратор источников финансирования дефицита бюджета, администратор источников финансирования дефицита бюджета с п</w:t>
            </w:r>
            <w:r>
              <w:t xml:space="preserve">олномочиями главного администратора, администратор источников финансирования дефицита бюджета, финансовый орган, орган управления государственным внебюджетным фондом Российской Федерации, орган управления территориальным государственным внебюджетным фондом</w:t>
            </w:r>
            <w:r/>
          </w:p>
        </w:tc>
      </w:tr>
      <w:tr>
        <w:tblPrEx/>
        <w:trPr/>
        <w:tc>
          <w:tcPr>
            <w:tcW w:w="2155" w:type="dxa"/>
            <w:textDirection w:val="lrTb"/>
            <w:noWrap w:val="false"/>
          </w:tcPr>
          <w:p>
            <w:pPr>
              <w:pStyle w:val="1316"/>
            </w:pPr>
            <w:r>
              <w:t xml:space="preserve">УО</w:t>
            </w:r>
            <w:r/>
          </w:p>
        </w:tc>
        <w:tc>
          <w:tcPr>
            <w:tcW w:w="7539" w:type="dxa"/>
            <w:textDirection w:val="lrTb"/>
            <w:noWrap w:val="false"/>
          </w:tcPr>
          <w:p>
            <w:pPr>
              <w:pStyle w:val="1316"/>
            </w:pPr>
            <w:r>
              <w:t xml:space="preserve">Уполномоченная организация</w:t>
            </w:r>
            <w:r/>
          </w:p>
        </w:tc>
      </w:tr>
      <w:tr>
        <w:tblPrEx/>
        <w:trPr/>
        <w:tc>
          <w:tcPr>
            <w:tcW w:w="2155" w:type="dxa"/>
            <w:textDirection w:val="lrTb"/>
            <w:noWrap w:val="false"/>
          </w:tcPr>
          <w:p>
            <w:pPr>
              <w:pStyle w:val="1316"/>
            </w:pPr>
            <w:r>
              <w:t xml:space="preserve">УФК</w:t>
            </w:r>
            <w:r/>
          </w:p>
        </w:tc>
        <w:tc>
          <w:tcPr>
            <w:tcW w:w="7539" w:type="dxa"/>
            <w:textDirection w:val="lrTb"/>
            <w:noWrap w:val="false"/>
          </w:tcPr>
          <w:p>
            <w:pPr>
              <w:pStyle w:val="1316"/>
            </w:pPr>
            <w:r>
              <w:t xml:space="preserve">Управление Федерального казначейства по субъекту Российской Федерации (субъектам Российской Федерации, находящимся в границах федерального округа)</w:t>
            </w:r>
            <w:r/>
          </w:p>
        </w:tc>
      </w:tr>
      <w:tr>
        <w:tblPrEx/>
        <w:trPr/>
        <w:tc>
          <w:tcPr>
            <w:tcW w:w="2155" w:type="dxa"/>
            <w:textDirection w:val="lrTb"/>
            <w:noWrap w:val="false"/>
          </w:tcPr>
          <w:p>
            <w:pPr>
              <w:pStyle w:val="1316"/>
            </w:pPr>
            <w:r>
              <w:t xml:space="preserve">ФГ</w:t>
            </w:r>
            <w:r/>
          </w:p>
        </w:tc>
        <w:tc>
          <w:tcPr>
            <w:tcW w:w="7539" w:type="dxa"/>
            <w:textDirection w:val="lrTb"/>
            <w:noWrap w:val="false"/>
          </w:tcPr>
          <w:p>
            <w:pPr>
              <w:pStyle w:val="1316"/>
            </w:pPr>
            <w:r>
              <w:t xml:space="preserve">Фонарная группа – набор индикаторов, отображающихся в списковой форме для каждого документа. Цвет индикатора зависит от значений в связанных с </w:t>
            </w:r>
            <w:r>
              <w:t xml:space="preserve">данным индикатором реквизитах документа</w:t>
            </w:r>
            <w:r/>
          </w:p>
        </w:tc>
      </w:tr>
      <w:tr>
        <w:tblPrEx/>
        <w:trPr/>
        <w:tc>
          <w:tcPr>
            <w:tcW w:w="2155" w:type="dxa"/>
            <w:textDirection w:val="lrTb"/>
            <w:noWrap w:val="false"/>
          </w:tcPr>
          <w:p>
            <w:pPr>
              <w:pStyle w:val="1316"/>
            </w:pPr>
            <w:r>
              <w:t xml:space="preserve">ФГУП</w:t>
            </w:r>
            <w:r/>
          </w:p>
        </w:tc>
        <w:tc>
          <w:tcPr>
            <w:tcW w:w="7539" w:type="dxa"/>
            <w:textDirection w:val="lrTb"/>
            <w:noWrap w:val="false"/>
          </w:tcPr>
          <w:p>
            <w:pPr>
              <w:pStyle w:val="1316"/>
            </w:pPr>
            <w:r>
              <w:t xml:space="preserve">Федеральное государственное унитарное предприятие</w:t>
            </w:r>
            <w:r/>
          </w:p>
        </w:tc>
      </w:tr>
      <w:tr>
        <w:tblPrEx/>
        <w:trPr/>
        <w:tc>
          <w:tcPr>
            <w:tcW w:w="2155" w:type="dxa"/>
            <w:textDirection w:val="lrTb"/>
            <w:noWrap w:val="false"/>
          </w:tcPr>
          <w:p>
            <w:pPr>
              <w:pStyle w:val="1316"/>
            </w:pPr>
            <w:r>
              <w:rPr>
                <w:szCs w:val="24"/>
              </w:rPr>
              <w:t xml:space="preserve">ФИО</w:t>
            </w:r>
            <w:r/>
          </w:p>
        </w:tc>
        <w:tc>
          <w:tcPr>
            <w:tcW w:w="7539" w:type="dxa"/>
            <w:textDirection w:val="lrTb"/>
            <w:noWrap w:val="false"/>
          </w:tcPr>
          <w:p>
            <w:pPr>
              <w:pStyle w:val="1316"/>
            </w:pPr>
            <w:r>
              <w:t xml:space="preserve">Фамилия, имя, отчество</w:t>
            </w:r>
            <w:r/>
          </w:p>
        </w:tc>
      </w:tr>
      <w:tr>
        <w:tblPrEx/>
        <w:trPr/>
        <w:tc>
          <w:tcPr>
            <w:tcW w:w="2155" w:type="dxa"/>
            <w:textDirection w:val="lrTb"/>
            <w:noWrap w:val="false"/>
          </w:tcPr>
          <w:p>
            <w:pPr>
              <w:pStyle w:val="1316"/>
            </w:pPr>
            <w:r>
              <w:t xml:space="preserve">ФК</w:t>
            </w:r>
            <w:r/>
          </w:p>
        </w:tc>
        <w:tc>
          <w:tcPr>
            <w:tcW w:w="7539" w:type="dxa"/>
            <w:textDirection w:val="lrTb"/>
            <w:noWrap w:val="false"/>
          </w:tcPr>
          <w:p>
            <w:pPr>
              <w:pStyle w:val="1316"/>
            </w:pPr>
            <w:r>
              <w:t xml:space="preserve">Федеральное казначейство</w:t>
            </w:r>
            <w:r/>
          </w:p>
        </w:tc>
      </w:tr>
      <w:tr>
        <w:tblPrEx/>
        <w:trPr/>
        <w:tc>
          <w:tcPr>
            <w:tcW w:w="2155" w:type="dxa"/>
            <w:textDirection w:val="lrTb"/>
            <w:noWrap w:val="false"/>
          </w:tcPr>
          <w:p>
            <w:pPr>
              <w:pStyle w:val="1316"/>
            </w:pPr>
            <w:r>
              <w:t xml:space="preserve">ФКР</w:t>
            </w:r>
            <w:r/>
          </w:p>
        </w:tc>
        <w:tc>
          <w:tcPr>
            <w:tcW w:w="7539" w:type="dxa"/>
            <w:textDirection w:val="lrTb"/>
            <w:noWrap w:val="false"/>
          </w:tcPr>
          <w:p>
            <w:pPr>
              <w:pStyle w:val="1316"/>
            </w:pPr>
            <w:r>
              <w:t xml:space="preserve">Функциональный классификатор расходов</w:t>
            </w:r>
            <w:r/>
          </w:p>
        </w:tc>
      </w:tr>
      <w:tr>
        <w:tblPrEx/>
        <w:trPr/>
        <w:tc>
          <w:tcPr>
            <w:tcW w:w="2155" w:type="dxa"/>
            <w:textDirection w:val="lrTb"/>
            <w:noWrap w:val="false"/>
          </w:tcPr>
          <w:p>
            <w:pPr>
              <w:pStyle w:val="1316"/>
            </w:pPr>
            <w:r>
              <w:t xml:space="preserve">ФНС</w:t>
            </w:r>
            <w:r/>
          </w:p>
        </w:tc>
        <w:tc>
          <w:tcPr>
            <w:tcW w:w="7539" w:type="dxa"/>
            <w:textDirection w:val="lrTb"/>
            <w:noWrap w:val="false"/>
          </w:tcPr>
          <w:p>
            <w:pPr>
              <w:pStyle w:val="1316"/>
            </w:pPr>
            <w:r>
              <w:t xml:space="preserve">Федеральная налоговая служба</w:t>
            </w:r>
            <w:r/>
          </w:p>
        </w:tc>
      </w:tr>
      <w:tr>
        <w:tblPrEx/>
        <w:trPr/>
        <w:tc>
          <w:tcPr>
            <w:tcW w:w="2155" w:type="dxa"/>
            <w:textDirection w:val="lrTb"/>
            <w:noWrap w:val="false"/>
          </w:tcPr>
          <w:p>
            <w:pPr>
              <w:pStyle w:val="1316"/>
            </w:pPr>
            <w:r>
              <w:t xml:space="preserve">ФО</w:t>
            </w:r>
            <w:r/>
          </w:p>
        </w:tc>
        <w:tc>
          <w:tcPr>
            <w:tcW w:w="7539" w:type="dxa"/>
            <w:textDirection w:val="lrTb"/>
            <w:noWrap w:val="false"/>
          </w:tcPr>
          <w:p>
            <w:pPr>
              <w:pStyle w:val="1316"/>
            </w:pPr>
            <w:r>
              <w:t xml:space="preserve">Финансовые органы – Министерство финансов Российской Федерации, органы исполнительной власти субъектов Российской Федерации, осуществляющие составление и организацию исполнения бюджетов субъекта Россий</w:t>
            </w:r>
            <w:r>
              <w:t xml:space="preserve">ской Федерации (финансовые органы субъекта Российской Федерации), органы (должностные лица) местных администраций муниципальных образований, осуществляющие составление и организацию исполнения местных бюджетов (финансовые органы муниципального образования)</w:t>
            </w:r>
            <w:r/>
          </w:p>
        </w:tc>
      </w:tr>
      <w:tr>
        <w:tblPrEx/>
        <w:trPr/>
        <w:tc>
          <w:tcPr>
            <w:tcW w:w="2155" w:type="dxa"/>
            <w:textDirection w:val="lrTb"/>
            <w:noWrap w:val="false"/>
          </w:tcPr>
          <w:p>
            <w:pPr>
              <w:pStyle w:val="1316"/>
            </w:pPr>
            <w:r>
              <w:t xml:space="preserve">Формуляр</w:t>
            </w:r>
            <w:r/>
          </w:p>
        </w:tc>
        <w:tc>
          <w:tcPr>
            <w:tcW w:w="7539" w:type="dxa"/>
            <w:textDirection w:val="lrTb"/>
            <w:noWrap w:val="false"/>
          </w:tcPr>
          <w:p>
            <w:pPr>
              <w:pStyle w:val="1316"/>
            </w:pPr>
            <w:r>
              <w:t xml:space="preserve">Метаописание структуры данных, алгоритмов контроля данных и визуального представления одного информационного объекта предметной области (электронный документ, справочник, реестр, отчет)</w:t>
            </w:r>
            <w:r/>
          </w:p>
        </w:tc>
      </w:tr>
      <w:tr>
        <w:tblPrEx/>
        <w:trPr/>
        <w:tc>
          <w:tcPr>
            <w:tcW w:w="2155" w:type="dxa"/>
            <w:textDirection w:val="lrTb"/>
            <w:noWrap w:val="false"/>
          </w:tcPr>
          <w:p>
            <w:pPr>
              <w:pStyle w:val="1316"/>
            </w:pPr>
            <w:r>
              <w:t xml:space="preserve">ФСБ России</w:t>
            </w:r>
            <w:r/>
          </w:p>
        </w:tc>
        <w:tc>
          <w:tcPr>
            <w:tcW w:w="7539" w:type="dxa"/>
            <w:textDirection w:val="lrTb"/>
            <w:noWrap w:val="false"/>
          </w:tcPr>
          <w:p>
            <w:pPr>
              <w:pStyle w:val="1316"/>
            </w:pPr>
            <w:r>
              <w:t xml:space="preserve">Федеральная служба безопасности Российской Федерации</w:t>
            </w:r>
            <w:r/>
          </w:p>
        </w:tc>
      </w:tr>
      <w:tr>
        <w:tblPrEx/>
        <w:trPr/>
        <w:tc>
          <w:tcPr>
            <w:tcW w:w="2155" w:type="dxa"/>
            <w:textDirection w:val="lrTb"/>
            <w:noWrap w:val="false"/>
          </w:tcPr>
          <w:p>
            <w:pPr>
              <w:pStyle w:val="1316"/>
            </w:pPr>
            <w:r>
              <w:rPr>
                <w:szCs w:val="24"/>
              </w:rPr>
              <w:t xml:space="preserve">Центр специализации</w:t>
            </w:r>
            <w:r/>
          </w:p>
        </w:tc>
        <w:tc>
          <w:tcPr>
            <w:tcW w:w="7539" w:type="dxa"/>
            <w:textDirection w:val="lrTb"/>
            <w:noWrap w:val="false"/>
          </w:tcPr>
          <w:p>
            <w:pPr>
              <w:pStyle w:val="1316"/>
            </w:pPr>
            <w:r>
              <w:t xml:space="preserve">Территориальный орган Федерального казначейства, осуществляющий прием к исполнению распоряжений о перечислении участников системы казначейских платежей</w:t>
            </w:r>
            <w:r/>
          </w:p>
        </w:tc>
      </w:tr>
      <w:tr>
        <w:tblPrEx/>
        <w:trPr/>
        <w:tc>
          <w:tcPr>
            <w:tcW w:w="2155" w:type="dxa"/>
            <w:textDirection w:val="lrTb"/>
            <w:noWrap w:val="false"/>
          </w:tcPr>
          <w:p>
            <w:pPr>
              <w:pStyle w:val="1316"/>
            </w:pPr>
            <w:r>
              <w:t xml:space="preserve">ЦС</w:t>
            </w:r>
            <w:r/>
          </w:p>
        </w:tc>
        <w:tc>
          <w:tcPr>
            <w:tcW w:w="7539" w:type="dxa"/>
            <w:textDirection w:val="lrTb"/>
            <w:noWrap w:val="false"/>
          </w:tcPr>
          <w:p>
            <w:pPr>
              <w:pStyle w:val="1316"/>
            </w:pPr>
            <w:r>
              <w:t xml:space="preserve">Центр специализации – территориальный орган Федерального казначейства, определенный как центр специализации по выполнению отдельных функций Федерального казначейства </w:t>
            </w:r>
            <w:r/>
          </w:p>
        </w:tc>
      </w:tr>
      <w:tr>
        <w:tblPrEx/>
        <w:trPr/>
        <w:tc>
          <w:tcPr>
            <w:tcW w:w="2155" w:type="dxa"/>
            <w:textDirection w:val="lrTb"/>
            <w:noWrap w:val="false"/>
          </w:tcPr>
          <w:p>
            <w:pPr>
              <w:pStyle w:val="1316"/>
            </w:pPr>
            <w:r>
              <w:t xml:space="preserve">Чекбокс</w:t>
            </w:r>
            <w:r/>
          </w:p>
        </w:tc>
        <w:tc>
          <w:tcPr>
            <w:tcW w:w="7539" w:type="dxa"/>
            <w:textDirection w:val="lrTb"/>
            <w:noWrap w:val="false"/>
          </w:tcPr>
          <w:p>
            <w:pPr>
              <w:pStyle w:val="1316"/>
            </w:pPr>
            <w:r>
              <w:t xml:space="preserve">Клетка выбора из списка представленных значений</w:t>
            </w:r>
            <w:r/>
          </w:p>
        </w:tc>
      </w:tr>
      <w:tr>
        <w:tblPrEx/>
        <w:trPr/>
        <w:tc>
          <w:tcPr>
            <w:tcW w:w="2155" w:type="dxa"/>
            <w:textDirection w:val="lrTb"/>
            <w:noWrap w:val="false"/>
          </w:tcPr>
          <w:p>
            <w:pPr>
              <w:pStyle w:val="1316"/>
            </w:pPr>
            <w:r>
              <w:rPr>
                <w:szCs w:val="24"/>
              </w:rPr>
              <w:t xml:space="preserve">ЭВМ</w:t>
            </w:r>
            <w:r/>
          </w:p>
        </w:tc>
        <w:tc>
          <w:tcPr>
            <w:tcW w:w="7539" w:type="dxa"/>
            <w:textDirection w:val="lrTb"/>
            <w:noWrap w:val="false"/>
          </w:tcPr>
          <w:p>
            <w:pPr>
              <w:pStyle w:val="1316"/>
            </w:pPr>
            <w:r>
              <w:t xml:space="preserve">Электронная вычислительная машина</w:t>
            </w:r>
            <w:r/>
          </w:p>
        </w:tc>
      </w:tr>
      <w:tr>
        <w:tblPrEx/>
        <w:trPr/>
        <w:tc>
          <w:tcPr>
            <w:tcW w:w="2155" w:type="dxa"/>
            <w:textDirection w:val="lrTb"/>
            <w:noWrap w:val="false"/>
          </w:tcPr>
          <w:p>
            <w:pPr>
              <w:pStyle w:val="1316"/>
            </w:pPr>
            <w:r>
              <w:t xml:space="preserve">ЭП</w:t>
            </w:r>
            <w:r/>
          </w:p>
        </w:tc>
        <w:tc>
          <w:tcPr>
            <w:tcW w:w="7539" w:type="dxa"/>
            <w:textDirection w:val="lrTb"/>
            <w:noWrap w:val="false"/>
          </w:tcPr>
          <w:p>
            <w:pPr>
              <w:pStyle w:val="1316"/>
            </w:pPr>
            <w:r>
              <w:t xml:space="preserve">Э</w:t>
            </w:r>
            <w:r>
              <w:t xml:space="preserve">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r/>
          </w:p>
        </w:tc>
      </w:tr>
      <w:tr>
        <w:tblPrEx/>
        <w:trPr/>
        <w:tc>
          <w:tcPr>
            <w:tcW w:w="2155" w:type="dxa"/>
            <w:textDirection w:val="lrTb"/>
            <w:noWrap w:val="false"/>
          </w:tcPr>
          <w:p>
            <w:pPr>
              <w:pStyle w:val="1316"/>
            </w:pPr>
            <w:r>
              <w:t xml:space="preserve">ЮЛ</w:t>
            </w:r>
            <w:r/>
          </w:p>
        </w:tc>
        <w:tc>
          <w:tcPr>
            <w:tcW w:w="7539" w:type="dxa"/>
            <w:textDirection w:val="lrTb"/>
            <w:noWrap w:val="false"/>
          </w:tcPr>
          <w:p>
            <w:pPr>
              <w:pStyle w:val="1316"/>
            </w:pPr>
            <w:r>
              <w:t xml:space="preserve">Юридическое лицо</w:t>
            </w:r>
            <w:r/>
          </w:p>
        </w:tc>
      </w:tr>
    </w:tbl>
    <w:p>
      <w:pPr>
        <w:pStyle w:val="1281"/>
      </w:pPr>
      <w:r/>
      <w:bookmarkStart w:id="12" w:name="_Toc451851355"/>
      <w:r/>
      <w:bookmarkStart w:id="13" w:name="_Toc221869878"/>
      <w:r/>
      <w:bookmarkStart w:id="14" w:name="_Toc488013148"/>
      <w:r>
        <w:t xml:space="preserve">Общие </w:t>
      </w:r>
      <w:bookmarkEnd w:id="12"/>
      <w:r>
        <w:t xml:space="preserve">сведения</w:t>
      </w:r>
      <w:bookmarkEnd w:id="13"/>
      <w:r/>
      <w:r/>
    </w:p>
    <w:p>
      <w:pPr>
        <w:pStyle w:val="1282"/>
      </w:pPr>
      <w:r/>
      <w:bookmarkStart w:id="15" w:name="_Toc162885575"/>
      <w:r/>
      <w:bookmarkStart w:id="16" w:name="_Toc481076309"/>
      <w:r/>
      <w:bookmarkStart w:id="17" w:name="_Toc481078264"/>
      <w:r/>
      <w:bookmarkStart w:id="18" w:name="_Toc162436000"/>
      <w:r/>
      <w:bookmarkStart w:id="19" w:name="_Toc162884816"/>
      <w:r/>
      <w:bookmarkStart w:id="20" w:name="_Ref182910505"/>
      <w:r/>
      <w:bookmarkStart w:id="21" w:name="_Toc221869879"/>
      <w:r/>
      <w:bookmarkStart w:id="22" w:name="_Toc404947390"/>
      <w:r/>
      <w:bookmarkStart w:id="23" w:name="_Toc451851356"/>
      <w:r/>
      <w:bookmarkStart w:id="24" w:name="OLE_LINK35"/>
      <w:r/>
      <w:bookmarkStart w:id="25" w:name="_Toc481076310"/>
      <w:r/>
      <w:bookmarkStart w:id="26" w:name="_Toc481078265"/>
      <w:r/>
      <w:bookmarkEnd w:id="15"/>
      <w:r>
        <w:t xml:space="preserve">Область применения</w:t>
      </w:r>
      <w:bookmarkEnd w:id="16"/>
      <w:r/>
      <w:bookmarkEnd w:id="17"/>
      <w:r/>
      <w:bookmarkEnd w:id="18"/>
      <w:r/>
      <w:bookmarkEnd w:id="19"/>
      <w:r/>
      <w:bookmarkEnd w:id="20"/>
      <w:r/>
      <w:bookmarkEnd w:id="21"/>
      <w:r/>
      <w:r/>
    </w:p>
    <w:p>
      <w:pPr>
        <w:pStyle w:val="1305"/>
      </w:pPr>
      <w:r>
        <w:t xml:space="preserve">Настоящий документ «</w:t>
      </w:r>
      <w:r>
        <w:t xml:space="preserve">Руководство работников (представителей) участников системы «Электронный бюджет» по работе с подсистемой (компонентом, модулем)</w:t>
      </w:r>
      <w:r>
        <w:t xml:space="preserve">» (далее – Руководство) предназначен для </w:t>
      </w:r>
      <w:r>
        <w:t xml:space="preserve">сотрудников организаций, являющихся</w:t>
      </w:r>
      <w:r>
        <w:t xml:space="preserve"> участниками бюджетного процесса, бюджетного (автономного) учреждения, получателями средств из бюджета (в соответствии с приказом Федерального казначейства от 17 октября 2016 г. № 21н) или участникам казначейского сопровождения</w:t>
      </w:r>
      <w:r>
        <w:t xml:space="preserve">, в том числе участникам / неучастникам бюджетного процесса, выполняющих функцию государственного заказчика (головного исполнителя) в рамках исполнения государственного контракта</w:t>
      </w:r>
      <w:r>
        <w:t xml:space="preserve"> (в соответствии с приказом Федерального казначейства от 22 декабря 2021 г. № 44н)</w:t>
      </w:r>
      <w:r>
        <w:t xml:space="preserve">,</w:t>
      </w:r>
      <w:r>
        <w:t xml:space="preserve"> </w:t>
      </w:r>
      <w:r>
        <w:t xml:space="preserve">осуществляющих полномочия по ведению </w:t>
      </w:r>
      <w:r>
        <w:t xml:space="preserve">лицевых счетов и </w:t>
      </w:r>
      <w:r>
        <w:t xml:space="preserve">работающих с государственной интегрированной информационной системой управления общественными финансами «Электронный бюджет», доступ к которой осуществляется через экранные формы единого портала бюджетной системы Российской Федерации (www.budget.gov.ru).</w:t>
      </w:r>
      <w:r/>
    </w:p>
    <w:p>
      <w:pPr>
        <w:pStyle w:val="1282"/>
      </w:pPr>
      <w:r/>
      <w:bookmarkStart w:id="27" w:name="_Toc162436001"/>
      <w:r/>
      <w:bookmarkStart w:id="28" w:name="_Toc162884817"/>
      <w:r/>
      <w:bookmarkStart w:id="29" w:name="_Toc221869880"/>
      <w:r>
        <w:t xml:space="preserve">Краткое описание возможностей</w:t>
      </w:r>
      <w:bookmarkEnd w:id="27"/>
      <w:r/>
      <w:bookmarkEnd w:id="28"/>
      <w:r/>
      <w:bookmarkEnd w:id="29"/>
      <w:r/>
      <w:r/>
    </w:p>
    <w:p>
      <w:pPr>
        <w:pStyle w:val="1305"/>
      </w:pPr>
      <w:r>
        <w:t xml:space="preserve">В рамках развития подсистемы НСИ ГИИС «Электронный бюджет» выполнены работы по расширению функциональных возможностей подсистемы НСИ ГИИС «Электронный бюджет» путем доработки ППО в части модуля ведения лицевых счетов.</w:t>
      </w:r>
      <w:r/>
    </w:p>
    <w:p>
      <w:pPr>
        <w:pStyle w:val="1305"/>
      </w:pPr>
      <w:r>
        <w:t xml:space="preserve">Модуль ведения ЛС НСИ ЭБ</w:t>
      </w:r>
      <w:r>
        <w:t xml:space="preserve"> обеспечивает выполнение процессов актуализации, ведения и распространения справочников, используемых в информационных системах ФК, в том числе в подсистемах ГИИС «Электронный бюджет».</w:t>
      </w:r>
      <w:r/>
    </w:p>
    <w:p>
      <w:pPr>
        <w:pStyle w:val="1282"/>
      </w:pPr>
      <w:r/>
      <w:bookmarkStart w:id="30" w:name="_Ref497933622"/>
      <w:r/>
      <w:bookmarkStart w:id="31" w:name="_Toc161825308"/>
      <w:r/>
      <w:bookmarkStart w:id="32" w:name="_Toc162884818"/>
      <w:r/>
      <w:bookmarkStart w:id="33" w:name="_Toc221869881"/>
      <w:r>
        <w:t xml:space="preserve">Функциональные роли, выполняемые пользователем</w:t>
      </w:r>
      <w:bookmarkEnd w:id="30"/>
      <w:r/>
      <w:bookmarkEnd w:id="31"/>
      <w:r/>
      <w:bookmarkEnd w:id="32"/>
      <w:r/>
      <w:bookmarkEnd w:id="33"/>
      <w:r/>
      <w:r/>
    </w:p>
    <w:p>
      <w:pPr>
        <w:pStyle w:val="1305"/>
      </w:pPr>
      <w:r>
        <w:t xml:space="preserve">Описание функциональных ролей, выполняемых пользователями, приведено в таблице</w:t>
      </w:r>
      <w:r>
        <w:t xml:space="preserve"> </w:t>
      </w:r>
      <w:r>
        <w:fldChar w:fldCharType="begin"/>
      </w:r>
      <w:r>
        <w:instrText xml:space="preserve"> REF _Ref189522599 \h </w:instrText>
      </w:r>
      <w:r>
        <w:instrText xml:space="preserve"> \* MERGEFORMAT </w:instrText>
      </w:r>
      <w:r>
        <w:fldChar w:fldCharType="separate"/>
      </w:r>
      <w:r>
        <w:t xml:space="preserve">2</w:t>
      </w:r>
      <w:r>
        <w:fldChar w:fldCharType="end"/>
      </w:r>
      <w:r>
        <w:t xml:space="preserve">.</w:t>
      </w:r>
      <w:r>
        <w:t xml:space="preserve"> Роли назначаются всем участникам, в зависимости от потребностей.</w:t>
      </w:r>
      <w:r/>
    </w:p>
    <w:p>
      <w:pPr>
        <w:pStyle w:val="1304"/>
      </w:pPr>
      <w:r>
        <w:fldChar w:fldCharType="begin"/>
      </w:r>
      <w:r>
        <w:instrText xml:space="preserve"> SEQ Таблица \* ARABIC </w:instrText>
      </w:r>
      <w:r>
        <w:fldChar w:fldCharType="separate"/>
      </w:r>
      <w:bookmarkStart w:id="34" w:name="_Ref189522599"/>
      <w:r/>
      <w:bookmarkStart w:id="35" w:name="_Toc221869943"/>
      <w:r>
        <w:t xml:space="preserve">2</w:t>
      </w:r>
      <w:bookmarkEnd w:id="34"/>
      <w:r>
        <w:fldChar w:fldCharType="end"/>
      </w:r>
      <w:r>
        <w:t xml:space="preserve">. </w:t>
      </w:r>
      <w:bookmarkStart w:id="36" w:name="_Hlk163474404"/>
      <w:r>
        <w:t xml:space="preserve">Описание функциональных ролей, выполняемых пользователями</w:t>
      </w:r>
      <w:bookmarkEnd w:id="35"/>
      <w:r/>
      <w:bookmarkEnd w:id="36"/>
      <w:r/>
      <w:r/>
    </w:p>
    <w:tbl>
      <w:tblPr>
        <w:tblStyle w:val="1315"/>
        <w:tblW w:w="5000" w:type="pct"/>
        <w:tblLook w:val="04A0" w:firstRow="1" w:lastRow="0" w:firstColumn="1" w:lastColumn="0" w:noHBand="0" w:noVBand="1"/>
      </w:tblPr>
      <w:tblGrid>
        <w:gridCol w:w="2210"/>
        <w:gridCol w:w="2210"/>
        <w:gridCol w:w="5274"/>
      </w:tblGrid>
      <w:tr>
        <w:tblPrEx/>
        <w:trPr>
          <w:trHeight w:val="343"/>
        </w:trPr>
        <w:tc>
          <w:tcPr>
            <w:tcW w:w="1140" w:type="pct"/>
            <w:textDirection w:val="lrTb"/>
            <w:noWrap w:val="false"/>
          </w:tcPr>
          <w:p>
            <w:pPr>
              <w:pStyle w:val="1317"/>
              <w:rPr>
                <w:rStyle w:val="1391"/>
                <w:b/>
                <w:bCs/>
              </w:rPr>
            </w:pPr>
            <w:r>
              <w:rPr>
                <w:rStyle w:val="1391"/>
                <w:b/>
                <w:bCs/>
              </w:rPr>
              <w:t xml:space="preserve">Наименование роли в ПОИБ </w:t>
            </w:r>
            <w:r>
              <w:t xml:space="preserve">СОБИ ФК</w:t>
            </w:r>
            <w:r>
              <w:rPr>
                <w:rStyle w:val="1391"/>
                <w:b/>
                <w:bCs/>
              </w:rPr>
            </w:r>
          </w:p>
        </w:tc>
        <w:tc>
          <w:tcPr>
            <w:tcW w:w="1140" w:type="pct"/>
            <w:textDirection w:val="lrTb"/>
            <w:noWrap w:val="false"/>
          </w:tcPr>
          <w:p>
            <w:pPr>
              <w:pStyle w:val="1317"/>
              <w:rPr>
                <w:rStyle w:val="1391"/>
                <w:b/>
                <w:bCs/>
              </w:rPr>
            </w:pPr>
            <w:r>
              <w:rPr>
                <w:rStyle w:val="1391"/>
                <w:b/>
                <w:bCs/>
              </w:rPr>
              <w:t xml:space="preserve">Функциональная роль</w:t>
            </w:r>
            <w:r>
              <w:rPr>
                <w:rStyle w:val="1391"/>
                <w:b/>
                <w:bCs/>
              </w:rPr>
            </w:r>
          </w:p>
        </w:tc>
        <w:tc>
          <w:tcPr>
            <w:tcW w:w="2720" w:type="pct"/>
            <w:textDirection w:val="lrTb"/>
            <w:noWrap w:val="false"/>
          </w:tcPr>
          <w:p>
            <w:pPr>
              <w:pStyle w:val="1317"/>
              <w:rPr>
                <w:rStyle w:val="1391"/>
                <w:b/>
                <w:bCs/>
              </w:rPr>
            </w:pPr>
            <w:r>
              <w:t xml:space="preserve">Действия роли</w:t>
            </w:r>
            <w:r>
              <w:rPr>
                <w:rStyle w:val="1391"/>
                <w:b/>
                <w:bCs/>
              </w:rPr>
            </w:r>
          </w:p>
        </w:tc>
      </w:tr>
      <w:tr>
        <w:tblPrEx/>
        <w:trPr/>
        <w:tc>
          <w:tcPr>
            <w:tcW w:w="1140" w:type="pct"/>
            <w:textDirection w:val="lrTb"/>
            <w:noWrap w:val="false"/>
          </w:tcPr>
          <w:p>
            <w:pPr>
              <w:pStyle w:val="1316"/>
            </w:pPr>
            <w:r>
              <w:t xml:space="preserve">ЛС.006 Исполнитель клиент</w:t>
            </w:r>
            <w:r/>
          </w:p>
        </w:tc>
        <w:tc>
          <w:tcPr>
            <w:tcW w:w="1140" w:type="pct"/>
            <w:textDirection w:val="lrTb"/>
            <w:noWrap w:val="false"/>
          </w:tcPr>
          <w:p>
            <w:pPr>
              <w:pStyle w:val="1316"/>
            </w:pPr>
            <w:r>
              <w:t xml:space="preserve">Исполнитель клиент</w:t>
            </w:r>
            <w:r/>
          </w:p>
          <w:p>
            <w:pPr>
              <w:pStyle w:val="1316"/>
            </w:pPr>
            <w:r>
              <w:t xml:space="preserve">Исполнитель заказчик (головной исполнитель)</w:t>
            </w:r>
            <w:r/>
          </w:p>
        </w:tc>
        <w:tc>
          <w:tcPr>
            <w:tcW w:w="2720" w:type="pct"/>
            <w:textDirection w:val="lrTb"/>
            <w:noWrap w:val="false"/>
          </w:tcPr>
          <w:p>
            <w:pPr>
              <w:pStyle w:val="1316"/>
              <w:rPr>
                <w:u w:val="single"/>
              </w:rPr>
            </w:pPr>
            <w:r>
              <w:rPr>
                <w:u w:val="single"/>
              </w:rPr>
              <w:t xml:space="preserve">Документ </w:t>
            </w:r>
            <w:r>
              <w:rPr>
                <w:u w:val="single"/>
              </w:rPr>
              <w:t xml:space="preserve">«Заявление на изменение справочника «Книга регистрации лицевых счетов»</w:t>
            </w:r>
            <w:r>
              <w:rPr>
                <w:u w:val="single"/>
              </w:rPr>
              <w:t xml:space="preserve">:</w:t>
            </w:r>
            <w:r>
              <w:rPr>
                <w:u w:val="single"/>
              </w:rPr>
            </w:r>
          </w:p>
          <w:p>
            <w:pPr>
              <w:pStyle w:val="1318"/>
            </w:pPr>
            <w:r>
              <w:t xml:space="preserve">Создание заявки;</w:t>
            </w:r>
            <w:r/>
          </w:p>
          <w:p>
            <w:pPr>
              <w:pStyle w:val="1318"/>
            </w:pPr>
            <w:r>
              <w:t xml:space="preserve">Редактирование атрибутов заявки;</w:t>
            </w:r>
            <w:r/>
          </w:p>
          <w:p>
            <w:pPr>
              <w:pStyle w:val="1318"/>
            </w:pPr>
            <w:r>
              <w:t xml:space="preserve">Назначение согласующего / утверждающего </w:t>
            </w:r>
            <w:r>
              <w:t xml:space="preserve">Клиент</w:t>
            </w:r>
            <w:r>
              <w:t xml:space="preserve">;</w:t>
            </w:r>
            <w:r/>
          </w:p>
          <w:p>
            <w:pPr>
              <w:pStyle w:val="1318"/>
            </w:pPr>
            <w:r>
              <w:t xml:space="preserve">Просмотр заявки;</w:t>
            </w:r>
            <w:r/>
          </w:p>
          <w:p>
            <w:pPr>
              <w:pStyle w:val="1318"/>
            </w:pPr>
            <w:r>
              <w:t xml:space="preserve">Печать заявки;</w:t>
            </w:r>
            <w:r/>
          </w:p>
          <w:p>
            <w:pPr>
              <w:pStyle w:val="1318"/>
            </w:pPr>
            <w:r>
              <w:t xml:space="preserve">Создание документа «Реестр заявок на изменение Сводного реестра» (на включение новой организации);</w:t>
            </w:r>
            <w:r/>
          </w:p>
          <w:p>
            <w:pPr>
              <w:pStyle w:val="1318"/>
            </w:pPr>
            <w:r>
              <w:t xml:space="preserve">Создание документа «Реестр заявок на включение (изменение) записи реестр ИП и КФХ» (на включение новой организации).</w:t>
            </w:r>
            <w:r/>
          </w:p>
          <w:p>
            <w:pPr>
              <w:pStyle w:val="1316"/>
              <w:rPr>
                <w:u w:val="single"/>
              </w:rPr>
            </w:pPr>
            <w:r>
              <w:rPr>
                <w:u w:val="single"/>
              </w:rPr>
              <w:t xml:space="preserve">Документ «Извещение в ФНС по Лицевому счёту»:</w:t>
            </w:r>
            <w:r>
              <w:rPr>
                <w:u w:val="single"/>
              </w:rPr>
            </w:r>
          </w:p>
          <w:p>
            <w:pPr>
              <w:pStyle w:val="1318"/>
            </w:pPr>
            <w:r>
              <w:t xml:space="preserve">Просмотр Извещения</w:t>
            </w:r>
            <w:r>
              <w:t xml:space="preserve">.</w:t>
            </w:r>
            <w:r/>
          </w:p>
          <w:p>
            <w:pPr>
              <w:pStyle w:val="1316"/>
              <w:rPr>
                <w:u w:val="single"/>
              </w:rPr>
            </w:pPr>
            <w:r>
              <w:rPr>
                <w:u w:val="single"/>
              </w:rPr>
              <w:t xml:space="preserve">Документ «Уведомление клиента ЛС»:</w:t>
            </w:r>
            <w:r>
              <w:rPr>
                <w:u w:val="single"/>
              </w:rPr>
            </w:r>
          </w:p>
          <w:p>
            <w:pPr>
              <w:pStyle w:val="1318"/>
            </w:pPr>
            <w:r>
              <w:t xml:space="preserve">Формирование Уведомления;</w:t>
            </w:r>
            <w:r/>
          </w:p>
          <w:p>
            <w:pPr>
              <w:pStyle w:val="1318"/>
            </w:pPr>
            <w:r>
              <w:t xml:space="preserve">Просмотр Уведомления;</w:t>
            </w:r>
            <w:r/>
          </w:p>
          <w:p>
            <w:pPr>
              <w:pStyle w:val="1318"/>
            </w:pPr>
            <w:r>
              <w:t xml:space="preserve">Печать Уведомления.</w:t>
            </w:r>
            <w:r/>
          </w:p>
          <w:p>
            <w:pPr>
              <w:pStyle w:val="1316"/>
              <w:rPr>
                <w:u w:val="single"/>
              </w:rPr>
            </w:pPr>
            <w:r>
              <w:rPr>
                <w:u w:val="single"/>
              </w:rPr>
              <w:t xml:space="preserve">Документ «Уведомление ЛС»:</w:t>
            </w:r>
            <w:r>
              <w:rPr>
                <w:u w:val="single"/>
              </w:rPr>
            </w:r>
          </w:p>
          <w:p>
            <w:pPr>
              <w:pStyle w:val="1318"/>
            </w:pPr>
            <w:r>
              <w:t xml:space="preserve">Формирование Уведомления;</w:t>
            </w:r>
            <w:r/>
          </w:p>
          <w:p>
            <w:pPr>
              <w:pStyle w:val="1318"/>
            </w:pPr>
            <w:r>
              <w:t xml:space="preserve">Редактирование атрибутов Уведомления;</w:t>
            </w:r>
            <w:r/>
          </w:p>
          <w:p>
            <w:pPr>
              <w:pStyle w:val="1318"/>
            </w:pPr>
            <w:r>
              <w:t xml:space="preserve">Просмотр Уведомления;</w:t>
            </w:r>
            <w:r/>
          </w:p>
          <w:p>
            <w:pPr>
              <w:pStyle w:val="1318"/>
            </w:pPr>
            <w:r>
              <w:t xml:space="preserve">Печать Уведомления.</w:t>
            </w:r>
            <w:r/>
          </w:p>
          <w:p>
            <w:pPr>
              <w:pStyle w:val="1316"/>
              <w:rPr>
                <w:u w:val="single"/>
              </w:rPr>
            </w:pPr>
            <w:r>
              <w:rPr>
                <w:u w:val="single"/>
              </w:rPr>
              <w:t xml:space="preserve">Документ «Протоколы ЛС»:</w:t>
            </w:r>
            <w:r>
              <w:rPr>
                <w:u w:val="single"/>
              </w:rPr>
            </w:r>
          </w:p>
          <w:p>
            <w:pPr>
              <w:pStyle w:val="1318"/>
            </w:pPr>
            <w:r>
              <w:t xml:space="preserve">Формирование Протокола;</w:t>
            </w:r>
            <w:r/>
          </w:p>
          <w:p>
            <w:pPr>
              <w:pStyle w:val="1318"/>
            </w:pPr>
            <w:r>
              <w:t xml:space="preserve">Редактирование атрибутов Протокола;</w:t>
            </w:r>
            <w:r/>
          </w:p>
          <w:p>
            <w:pPr>
              <w:pStyle w:val="1318"/>
            </w:pPr>
            <w:r>
              <w:t xml:space="preserve">Просмотр Протокола;</w:t>
            </w:r>
            <w:r/>
          </w:p>
          <w:p>
            <w:pPr>
              <w:pStyle w:val="1318"/>
            </w:pPr>
            <w:r>
              <w:t xml:space="preserve">Печать Протокола.</w:t>
            </w:r>
            <w:r/>
          </w:p>
          <w:p>
            <w:pPr>
              <w:pStyle w:val="1316"/>
              <w:rPr>
                <w:u w:val="single"/>
              </w:rPr>
            </w:pPr>
            <w:r>
              <w:rPr>
                <w:u w:val="single"/>
              </w:rPr>
              <w:t xml:space="preserve">Документ «Информация о реквизитах ЛС»:</w:t>
            </w:r>
            <w:r>
              <w:rPr>
                <w:u w:val="single"/>
              </w:rPr>
            </w:r>
          </w:p>
          <w:p>
            <w:pPr>
              <w:pStyle w:val="1318"/>
            </w:pPr>
            <w:r>
              <w:t xml:space="preserve">Формирование Информации;</w:t>
            </w:r>
            <w:r/>
          </w:p>
          <w:p>
            <w:pPr>
              <w:pStyle w:val="1318"/>
            </w:pPr>
            <w:r>
              <w:t xml:space="preserve">Просмотр Информации;</w:t>
            </w:r>
            <w:r/>
          </w:p>
          <w:p>
            <w:pPr>
              <w:pStyle w:val="1318"/>
            </w:pPr>
            <w:r>
              <w:t xml:space="preserve">Печать Информации.</w:t>
            </w:r>
            <w:r/>
          </w:p>
          <w:p>
            <w:pPr>
              <w:pStyle w:val="1316"/>
              <w:rPr>
                <w:u w:val="single"/>
              </w:rPr>
            </w:pPr>
            <w:r>
              <w:rPr>
                <w:u w:val="single"/>
              </w:rPr>
              <w:t xml:space="preserve">Документ «Уведомление о необходимости закрытия ЛС»:</w:t>
            </w:r>
            <w:r>
              <w:rPr>
                <w:u w:val="single"/>
              </w:rPr>
            </w:r>
          </w:p>
          <w:p>
            <w:pPr>
              <w:pStyle w:val="1318"/>
            </w:pPr>
            <w:r>
              <w:t xml:space="preserve">Просмотр Уведомления.</w:t>
            </w:r>
            <w:r/>
          </w:p>
          <w:p>
            <w:pPr>
              <w:pStyle w:val="1316"/>
              <w:rPr>
                <w:u w:val="single"/>
              </w:rPr>
            </w:pPr>
            <w:r>
              <w:rPr>
                <w:u w:val="single"/>
              </w:rPr>
              <w:t xml:space="preserve">Чтение записей справочников, необходимых для открытия лицевого счета:</w:t>
            </w:r>
            <w:r>
              <w:rPr>
                <w:u w:val="single"/>
              </w:rPr>
            </w:r>
          </w:p>
          <w:p>
            <w:pPr>
              <w:pStyle w:val="1318"/>
            </w:pPr>
            <w:r>
              <w:t xml:space="preserve">Книга регистрации лицевых счетов;</w:t>
            </w:r>
            <w:r/>
          </w:p>
          <w:p>
            <w:pPr>
              <w:pStyle w:val="1318"/>
            </w:pPr>
            <w:r>
              <w:t xml:space="preserve">Сводный реестр;</w:t>
            </w:r>
            <w:r/>
          </w:p>
          <w:p>
            <w:pPr>
              <w:pStyle w:val="1318"/>
            </w:pPr>
            <w:r>
              <w:t xml:space="preserve">Полномочия;</w:t>
            </w:r>
            <w:r/>
          </w:p>
          <w:p>
            <w:pPr>
              <w:pStyle w:val="1318"/>
            </w:pPr>
            <w:r>
              <w:t xml:space="preserve">Извещения СВР;</w:t>
            </w:r>
            <w:r/>
          </w:p>
          <w:p>
            <w:pPr>
              <w:pStyle w:val="1318"/>
            </w:pPr>
            <w:r>
              <w:t xml:space="preserve">Реестр ИП и КФХ;</w:t>
            </w:r>
            <w:r/>
          </w:p>
          <w:p>
            <w:pPr>
              <w:pStyle w:val="1318"/>
            </w:pPr>
            <w:r>
              <w:t xml:space="preserve">ТОФК;</w:t>
            </w:r>
            <w:r/>
          </w:p>
          <w:p>
            <w:pPr>
              <w:pStyle w:val="1318"/>
            </w:pPr>
            <w:r>
              <w:t xml:space="preserve">Типы лицевых счетов;</w:t>
            </w:r>
            <w:r/>
          </w:p>
          <w:p>
            <w:pPr>
              <w:pStyle w:val="1318"/>
            </w:pPr>
            <w:r>
              <w:t xml:space="preserve">Коды систем;</w:t>
            </w:r>
            <w:r/>
          </w:p>
          <w:p>
            <w:pPr>
              <w:pStyle w:val="1318"/>
            </w:pPr>
            <w:r>
              <w:t xml:space="preserve">Книга регистрации казначейских счетов;</w:t>
            </w:r>
            <w:r/>
          </w:p>
          <w:p>
            <w:pPr>
              <w:pStyle w:val="1318"/>
            </w:pPr>
            <w:r>
              <w:t xml:space="preserve">Перечень бюджетов;</w:t>
            </w:r>
            <w:r/>
          </w:p>
          <w:p>
            <w:pPr>
              <w:pStyle w:val="1318"/>
            </w:pPr>
            <w:r>
              <w:t xml:space="preserve">Статусы плательщика;</w:t>
            </w:r>
            <w:r/>
          </w:p>
          <w:p>
            <w:pPr>
              <w:pStyle w:val="1318"/>
            </w:pPr>
            <w:r>
              <w:t xml:space="preserve">Коды субсидий НУБП;</w:t>
            </w:r>
            <w:r/>
          </w:p>
          <w:p>
            <w:pPr>
              <w:pStyle w:val="1318"/>
            </w:pPr>
            <w:r>
              <w:t xml:space="preserve">Аналитические коды поступлений и источников;</w:t>
            </w:r>
            <w:r/>
          </w:p>
          <w:p>
            <w:pPr>
              <w:pStyle w:val="1318"/>
            </w:pPr>
            <w:r>
              <w:t xml:space="preserve">Технологическая таблица СВР;</w:t>
            </w:r>
            <w:r/>
          </w:p>
          <w:p>
            <w:pPr>
              <w:pStyle w:val="1318"/>
            </w:pPr>
            <w:r>
              <w:t xml:space="preserve">Субъекты РФ по КЛАДР;</w:t>
            </w:r>
            <w:r/>
          </w:p>
          <w:p>
            <w:pPr>
              <w:pStyle w:val="1318"/>
            </w:pPr>
            <w:r>
              <w:t xml:space="preserve">КЛАДР.Раздел 1;</w:t>
            </w:r>
            <w:r/>
          </w:p>
          <w:p>
            <w:pPr>
              <w:pStyle w:val="1318"/>
            </w:pPr>
            <w:r>
              <w:t xml:space="preserve">Главы;</w:t>
            </w:r>
            <w:r/>
          </w:p>
          <w:p>
            <w:pPr>
              <w:pStyle w:val="1318"/>
            </w:pPr>
            <w:r>
              <w:t xml:space="preserve">Публично-правовые образования;</w:t>
            </w:r>
            <w:r/>
          </w:p>
          <w:p>
            <w:pPr>
              <w:pStyle w:val="1318"/>
            </w:pPr>
            <w:r>
              <w:t xml:space="preserve">Банки;</w:t>
            </w:r>
            <w:r/>
          </w:p>
          <w:p>
            <w:pPr>
              <w:pStyle w:val="1318"/>
            </w:pPr>
            <w:r>
              <w:t xml:space="preserve">Схемы обслуживания ЛС;</w:t>
            </w:r>
            <w:r/>
          </w:p>
          <w:p>
            <w:pPr>
              <w:pStyle w:val="1318"/>
            </w:pPr>
            <w:r>
              <w:t xml:space="preserve">Типы документов-оснований;</w:t>
            </w:r>
            <w:r/>
          </w:p>
          <w:p>
            <w:pPr>
              <w:pStyle w:val="1318"/>
            </w:pPr>
            <w:r>
              <w:t xml:space="preserve">Центры специализации;</w:t>
            </w:r>
            <w:r/>
          </w:p>
          <w:p>
            <w:pPr>
              <w:pStyle w:val="1318"/>
            </w:pPr>
            <w:r>
              <w:t xml:space="preserve">Шаблон Согласования Решения</w:t>
            </w:r>
            <w:r/>
          </w:p>
        </w:tc>
      </w:tr>
      <w:tr>
        <w:tblPrEx/>
        <w:trPr/>
        <w:tc>
          <w:tcPr>
            <w:tcW w:w="1140" w:type="pct"/>
            <w:textDirection w:val="lrTb"/>
            <w:noWrap w:val="false"/>
          </w:tcPr>
          <w:p>
            <w:pPr>
              <w:pStyle w:val="1316"/>
            </w:pPr>
            <w:r>
              <w:t xml:space="preserve">ЛС.007 Согласующий клиент</w:t>
            </w:r>
            <w:r/>
          </w:p>
        </w:tc>
        <w:tc>
          <w:tcPr>
            <w:tcW w:w="1140" w:type="pct"/>
            <w:textDirection w:val="lrTb"/>
            <w:noWrap w:val="false"/>
          </w:tcPr>
          <w:p>
            <w:pPr>
              <w:pStyle w:val="1316"/>
            </w:pPr>
            <w:r>
              <w:t xml:space="preserve">Согласующий клиент</w:t>
            </w:r>
            <w:r/>
          </w:p>
          <w:p>
            <w:pPr>
              <w:pStyle w:val="1316"/>
            </w:pPr>
            <w:r>
              <w:t xml:space="preserve">Согласующий заказчик (головной исполнитель)</w:t>
            </w:r>
            <w:r/>
          </w:p>
        </w:tc>
        <w:tc>
          <w:tcPr>
            <w:tcW w:w="2720" w:type="pct"/>
            <w:textDirection w:val="lrTb"/>
            <w:noWrap w:val="false"/>
          </w:tcPr>
          <w:p>
            <w:pPr>
              <w:pStyle w:val="1316"/>
              <w:rPr>
                <w:u w:val="single"/>
              </w:rPr>
            </w:pPr>
            <w:r>
              <w:rPr>
                <w:u w:val="single"/>
              </w:rPr>
              <w:t xml:space="preserve">Документ </w:t>
            </w:r>
            <w:r>
              <w:rPr>
                <w:u w:val="single"/>
              </w:rPr>
              <w:t xml:space="preserve">«Заявление на изменение справочника «Книга регистрации лицевых счетов»</w:t>
            </w:r>
            <w:r>
              <w:rPr>
                <w:u w:val="single"/>
              </w:rPr>
              <w:t xml:space="preserve">:</w:t>
            </w:r>
            <w:r>
              <w:rPr>
                <w:u w:val="single"/>
              </w:rPr>
            </w:r>
          </w:p>
          <w:p>
            <w:pPr>
              <w:pStyle w:val="1318"/>
            </w:pPr>
            <w:r>
              <w:t xml:space="preserve">Возврат заявки на редактирование;</w:t>
            </w:r>
            <w:r/>
          </w:p>
          <w:p>
            <w:pPr>
              <w:pStyle w:val="1318"/>
            </w:pPr>
            <w:r>
              <w:t xml:space="preserve">Смена согласующего / утверждающего </w:t>
            </w:r>
            <w:r>
              <w:t xml:space="preserve">Клиент</w:t>
            </w:r>
            <w:r>
              <w:t xml:space="preserve">;</w:t>
            </w:r>
            <w:r/>
          </w:p>
          <w:p>
            <w:pPr>
              <w:pStyle w:val="1318"/>
            </w:pPr>
            <w:r>
              <w:t xml:space="preserve">Согласование заявки на уровне </w:t>
            </w:r>
            <w:r>
              <w:t xml:space="preserve">Клиент</w:t>
            </w:r>
            <w:r>
              <w:t xml:space="preserve">;</w:t>
            </w:r>
            <w:r/>
          </w:p>
          <w:p>
            <w:pPr>
              <w:pStyle w:val="1318"/>
            </w:pPr>
            <w:r>
              <w:t xml:space="preserve">Просмотр заявки;</w:t>
            </w:r>
            <w:r/>
          </w:p>
          <w:p>
            <w:pPr>
              <w:pStyle w:val="1318"/>
            </w:pPr>
            <w:r>
              <w:t xml:space="preserve">Печать заявки.</w:t>
            </w:r>
            <w:r/>
          </w:p>
          <w:p>
            <w:pPr>
              <w:pStyle w:val="1316"/>
              <w:rPr>
                <w:u w:val="single"/>
              </w:rPr>
            </w:pPr>
            <w:r>
              <w:rPr>
                <w:u w:val="single"/>
              </w:rPr>
              <w:t xml:space="preserve">Документ «Извещение в ФНС по Лицевому счёту»:</w:t>
            </w:r>
            <w:r>
              <w:rPr>
                <w:u w:val="single"/>
              </w:rPr>
            </w:r>
          </w:p>
          <w:p>
            <w:pPr>
              <w:pStyle w:val="1318"/>
            </w:pPr>
            <w:r>
              <w:t xml:space="preserve">Формирование Извещения;</w:t>
            </w:r>
            <w:r/>
          </w:p>
          <w:p>
            <w:pPr>
              <w:pStyle w:val="1318"/>
            </w:pPr>
            <w:r>
              <w:t xml:space="preserve">Просмотр Извещения;</w:t>
            </w:r>
            <w:r/>
          </w:p>
          <w:p>
            <w:pPr>
              <w:pStyle w:val="1318"/>
            </w:pPr>
            <w:r>
              <w:t xml:space="preserve">Печать Извещения.</w:t>
            </w:r>
            <w:r/>
          </w:p>
          <w:p>
            <w:pPr>
              <w:pStyle w:val="1316"/>
              <w:rPr>
                <w:u w:val="single"/>
              </w:rPr>
            </w:pPr>
            <w:r>
              <w:rPr>
                <w:u w:val="single"/>
              </w:rPr>
              <w:t xml:space="preserve">Документ «Уведомление клиента ЛС»:</w:t>
            </w:r>
            <w:r>
              <w:rPr>
                <w:u w:val="single"/>
              </w:rPr>
            </w:r>
          </w:p>
          <w:p>
            <w:pPr>
              <w:pStyle w:val="1318"/>
            </w:pPr>
            <w:r>
              <w:t xml:space="preserve">Формирование Уведомления;</w:t>
            </w:r>
            <w:r/>
          </w:p>
          <w:p>
            <w:pPr>
              <w:pStyle w:val="1318"/>
            </w:pPr>
            <w:r>
              <w:t xml:space="preserve">Просмотр Уведомления;</w:t>
            </w:r>
            <w:r/>
          </w:p>
          <w:p>
            <w:pPr>
              <w:pStyle w:val="1318"/>
            </w:pPr>
            <w:r>
              <w:t xml:space="preserve">Согласование Уведомления на уровне </w:t>
            </w:r>
            <w:r>
              <w:t xml:space="preserve">Клиент</w:t>
            </w:r>
            <w:r>
              <w:t xml:space="preserve">;</w:t>
            </w:r>
            <w:r/>
          </w:p>
          <w:p>
            <w:pPr>
              <w:pStyle w:val="1318"/>
            </w:pPr>
            <w:r>
              <w:t xml:space="preserve">Печать Уведомления.</w:t>
            </w:r>
            <w:r/>
          </w:p>
          <w:p>
            <w:pPr>
              <w:pStyle w:val="1316"/>
              <w:rPr>
                <w:u w:val="single"/>
              </w:rPr>
            </w:pPr>
            <w:r>
              <w:rPr>
                <w:u w:val="single"/>
              </w:rPr>
              <w:t xml:space="preserve">Документ «Уведомление ЛС»:</w:t>
            </w:r>
            <w:r>
              <w:rPr>
                <w:u w:val="single"/>
              </w:rPr>
            </w:r>
          </w:p>
          <w:p>
            <w:pPr>
              <w:pStyle w:val="1318"/>
            </w:pPr>
            <w:r>
              <w:t xml:space="preserve">Просмотр Уведомления;</w:t>
            </w:r>
            <w:r/>
          </w:p>
          <w:p>
            <w:pPr>
              <w:pStyle w:val="1318"/>
            </w:pPr>
            <w:r>
              <w:t xml:space="preserve">Печать Уведомления.</w:t>
            </w:r>
            <w:r/>
          </w:p>
          <w:p>
            <w:pPr>
              <w:pStyle w:val="1316"/>
              <w:rPr>
                <w:u w:val="single"/>
              </w:rPr>
            </w:pPr>
            <w:r>
              <w:rPr>
                <w:u w:val="single"/>
              </w:rPr>
              <w:t xml:space="preserve">Документ «Протоколы ЛС»:</w:t>
            </w:r>
            <w:r>
              <w:rPr>
                <w:u w:val="single"/>
              </w:rPr>
            </w:r>
          </w:p>
          <w:p>
            <w:pPr>
              <w:pStyle w:val="1318"/>
            </w:pPr>
            <w:r>
              <w:t xml:space="preserve">Просмотр Протокола.</w:t>
            </w:r>
            <w:r/>
          </w:p>
          <w:p>
            <w:pPr>
              <w:pStyle w:val="1316"/>
              <w:rPr>
                <w:u w:val="single"/>
              </w:rPr>
            </w:pPr>
            <w:r>
              <w:rPr>
                <w:u w:val="single"/>
              </w:rPr>
              <w:t xml:space="preserve">Документ «Информация о реквизитах ЛС»:</w:t>
            </w:r>
            <w:r>
              <w:rPr>
                <w:u w:val="single"/>
              </w:rPr>
            </w:r>
          </w:p>
          <w:p>
            <w:pPr>
              <w:pStyle w:val="1318"/>
            </w:pPr>
            <w:r>
              <w:t xml:space="preserve">Формирование Информации;</w:t>
            </w:r>
            <w:r/>
          </w:p>
          <w:p>
            <w:pPr>
              <w:pStyle w:val="1318"/>
            </w:pPr>
            <w:r>
              <w:t xml:space="preserve">Просмотр Информации;</w:t>
            </w:r>
            <w:r/>
          </w:p>
          <w:p>
            <w:pPr>
              <w:pStyle w:val="1318"/>
            </w:pPr>
            <w:r>
              <w:t xml:space="preserve">Печать Информации.</w:t>
            </w:r>
            <w:r/>
          </w:p>
          <w:p>
            <w:pPr>
              <w:pStyle w:val="1316"/>
              <w:rPr>
                <w:u w:val="single"/>
              </w:rPr>
            </w:pPr>
            <w:r>
              <w:rPr>
                <w:u w:val="single"/>
              </w:rPr>
              <w:t xml:space="preserve">Документ «Уведомление о необходимости закрытия ЛС»:</w:t>
            </w:r>
            <w:r>
              <w:rPr>
                <w:u w:val="single"/>
              </w:rPr>
            </w:r>
          </w:p>
          <w:p>
            <w:pPr>
              <w:pStyle w:val="1318"/>
            </w:pPr>
            <w:r>
              <w:t xml:space="preserve">Просмотр Уведомления.</w:t>
            </w:r>
            <w:r/>
          </w:p>
          <w:p>
            <w:pPr>
              <w:pStyle w:val="1316"/>
              <w:rPr>
                <w:u w:val="single"/>
              </w:rPr>
            </w:pPr>
            <w:r>
              <w:rPr>
                <w:u w:val="single"/>
              </w:rPr>
              <w:t xml:space="preserve">Чтение записей справочников, необходимых для открытия лицевого счета:</w:t>
            </w:r>
            <w:r>
              <w:rPr>
                <w:u w:val="single"/>
              </w:rPr>
            </w:r>
          </w:p>
          <w:p>
            <w:pPr>
              <w:pStyle w:val="1318"/>
            </w:pPr>
            <w:r>
              <w:t xml:space="preserve">Книга регистрации лицевых счетов;</w:t>
            </w:r>
            <w:r/>
          </w:p>
          <w:p>
            <w:pPr>
              <w:pStyle w:val="1318"/>
            </w:pPr>
            <w:r>
              <w:t xml:space="preserve">Сводный реестр;</w:t>
            </w:r>
            <w:r/>
          </w:p>
          <w:p>
            <w:pPr>
              <w:pStyle w:val="1318"/>
            </w:pPr>
            <w:r>
              <w:t xml:space="preserve">Полномочия;</w:t>
            </w:r>
            <w:r/>
          </w:p>
          <w:p>
            <w:pPr>
              <w:pStyle w:val="1318"/>
            </w:pPr>
            <w:r>
              <w:t xml:space="preserve">Извещения СВР;</w:t>
            </w:r>
            <w:r/>
          </w:p>
          <w:p>
            <w:pPr>
              <w:pStyle w:val="1318"/>
            </w:pPr>
            <w:r>
              <w:t xml:space="preserve">Реестр ИП и КФХ;</w:t>
            </w:r>
            <w:r/>
          </w:p>
          <w:p>
            <w:pPr>
              <w:pStyle w:val="1318"/>
            </w:pPr>
            <w:r>
              <w:t xml:space="preserve">ТОФК;</w:t>
            </w:r>
            <w:r/>
          </w:p>
          <w:p>
            <w:pPr>
              <w:pStyle w:val="1318"/>
            </w:pPr>
            <w:r>
              <w:t xml:space="preserve">Типы лицевых счетов;</w:t>
            </w:r>
            <w:r/>
          </w:p>
          <w:p>
            <w:pPr>
              <w:pStyle w:val="1318"/>
            </w:pPr>
            <w:r>
              <w:t xml:space="preserve">Коды систем;</w:t>
            </w:r>
            <w:r/>
          </w:p>
          <w:p>
            <w:pPr>
              <w:pStyle w:val="1318"/>
            </w:pPr>
            <w:r>
              <w:t xml:space="preserve">Книга регистрации казначейских счетов;</w:t>
            </w:r>
            <w:r/>
          </w:p>
          <w:p>
            <w:pPr>
              <w:pStyle w:val="1318"/>
            </w:pPr>
            <w:r>
              <w:t xml:space="preserve">Перечень бюджетов;</w:t>
            </w:r>
            <w:r/>
          </w:p>
          <w:p>
            <w:pPr>
              <w:pStyle w:val="1318"/>
            </w:pPr>
            <w:r>
              <w:t xml:space="preserve">Статусы плательщика;</w:t>
            </w:r>
            <w:r/>
          </w:p>
          <w:p>
            <w:pPr>
              <w:pStyle w:val="1318"/>
            </w:pPr>
            <w:r>
              <w:t xml:space="preserve">Коды субсидий НУБП;</w:t>
            </w:r>
            <w:r/>
          </w:p>
          <w:p>
            <w:pPr>
              <w:pStyle w:val="1318"/>
            </w:pPr>
            <w:r>
              <w:t xml:space="preserve">Аналитические коды поступлений и источников;</w:t>
            </w:r>
            <w:r/>
          </w:p>
          <w:p>
            <w:pPr>
              <w:pStyle w:val="1318"/>
            </w:pPr>
            <w:r>
              <w:t xml:space="preserve">Технологическая таблица СВР;</w:t>
            </w:r>
            <w:r/>
          </w:p>
          <w:p>
            <w:pPr>
              <w:pStyle w:val="1318"/>
            </w:pPr>
            <w:r>
              <w:t xml:space="preserve">Субъекты РФ по КЛАДР;</w:t>
            </w:r>
            <w:r/>
          </w:p>
          <w:p>
            <w:pPr>
              <w:pStyle w:val="1318"/>
            </w:pPr>
            <w:r>
              <w:t xml:space="preserve">КЛАДР.Раздел 1;</w:t>
            </w:r>
            <w:r/>
          </w:p>
          <w:p>
            <w:pPr>
              <w:pStyle w:val="1318"/>
            </w:pPr>
            <w:r>
              <w:t xml:space="preserve">Главы;</w:t>
            </w:r>
            <w:r/>
          </w:p>
          <w:p>
            <w:pPr>
              <w:pStyle w:val="1318"/>
            </w:pPr>
            <w:r>
              <w:t xml:space="preserve">Схемы обслуживания ЛС;</w:t>
            </w:r>
            <w:r/>
          </w:p>
          <w:p>
            <w:pPr>
              <w:pStyle w:val="1318"/>
            </w:pPr>
            <w:r>
              <w:t xml:space="preserve">Типы документов-оснований;</w:t>
            </w:r>
            <w:r/>
          </w:p>
          <w:p>
            <w:pPr>
              <w:pStyle w:val="1318"/>
            </w:pPr>
            <w:r>
              <w:t xml:space="preserve">Центры специализации;</w:t>
            </w:r>
            <w:r/>
          </w:p>
          <w:p>
            <w:pPr>
              <w:pStyle w:val="1318"/>
            </w:pPr>
            <w:r>
              <w:t xml:space="preserve">Шаблон Согласования Решения </w:t>
            </w:r>
            <w:r/>
          </w:p>
        </w:tc>
      </w:tr>
      <w:tr>
        <w:tblPrEx/>
        <w:trPr/>
        <w:tc>
          <w:tcPr>
            <w:tcW w:w="1140" w:type="pct"/>
            <w:textDirection w:val="lrTb"/>
            <w:noWrap w:val="false"/>
          </w:tcPr>
          <w:p>
            <w:pPr>
              <w:pStyle w:val="1316"/>
            </w:pPr>
            <w:r>
              <w:t xml:space="preserve">ЛС.008 Утверждающий клиент</w:t>
            </w:r>
            <w:r/>
          </w:p>
        </w:tc>
        <w:tc>
          <w:tcPr>
            <w:tcW w:w="1140" w:type="pct"/>
            <w:textDirection w:val="lrTb"/>
            <w:noWrap w:val="false"/>
          </w:tcPr>
          <w:p>
            <w:pPr>
              <w:pStyle w:val="1316"/>
            </w:pPr>
            <w:r>
              <w:t xml:space="preserve">Утверждающий клиент</w:t>
            </w:r>
            <w:r/>
          </w:p>
          <w:p>
            <w:pPr>
              <w:pStyle w:val="1316"/>
            </w:pPr>
            <w:r>
              <w:t xml:space="preserve">Утверждающий заказчик (головной исполнитель)</w:t>
            </w:r>
            <w:r/>
          </w:p>
        </w:tc>
        <w:tc>
          <w:tcPr>
            <w:tcW w:w="2720" w:type="pct"/>
            <w:textDirection w:val="lrTb"/>
            <w:noWrap w:val="false"/>
          </w:tcPr>
          <w:p>
            <w:pPr>
              <w:pStyle w:val="1316"/>
              <w:rPr>
                <w:u w:val="single"/>
              </w:rPr>
            </w:pPr>
            <w:r>
              <w:rPr>
                <w:u w:val="single"/>
              </w:rPr>
              <w:t xml:space="preserve">Документ </w:t>
            </w:r>
            <w:r>
              <w:rPr>
                <w:u w:val="single"/>
              </w:rPr>
              <w:t xml:space="preserve">«Заявление на изменение справочника «Книга регистрации лицевых счетов»</w:t>
            </w:r>
            <w:r>
              <w:rPr>
                <w:u w:val="single"/>
              </w:rPr>
              <w:t xml:space="preserve">:</w:t>
            </w:r>
            <w:r>
              <w:rPr>
                <w:u w:val="single"/>
              </w:rPr>
            </w:r>
          </w:p>
          <w:p>
            <w:pPr>
              <w:pStyle w:val="1318"/>
            </w:pPr>
            <w:r>
              <w:t xml:space="preserve">Возврат заявки на редактирование;</w:t>
            </w:r>
            <w:r/>
          </w:p>
          <w:p>
            <w:pPr>
              <w:pStyle w:val="1318"/>
            </w:pPr>
            <w:r>
              <w:t xml:space="preserve">Смена согласующего / утверждающего </w:t>
            </w:r>
            <w:r>
              <w:t xml:space="preserve">Клиент</w:t>
            </w:r>
            <w:r>
              <w:t xml:space="preserve">;</w:t>
            </w:r>
            <w:r/>
          </w:p>
          <w:p>
            <w:pPr>
              <w:pStyle w:val="1318"/>
            </w:pPr>
            <w:r>
              <w:t xml:space="preserve">Утверждение заявки на уровне </w:t>
            </w:r>
            <w:r>
              <w:t xml:space="preserve">Клиент</w:t>
            </w:r>
            <w:r>
              <w:t xml:space="preserve">;</w:t>
            </w:r>
            <w:r/>
          </w:p>
          <w:p>
            <w:pPr>
              <w:pStyle w:val="1318"/>
            </w:pPr>
            <w:r>
              <w:t xml:space="preserve">Просмотр заявки;</w:t>
            </w:r>
            <w:r/>
          </w:p>
          <w:p>
            <w:pPr>
              <w:pStyle w:val="1318"/>
            </w:pPr>
            <w:r>
              <w:t xml:space="preserve">Печать заявки;</w:t>
            </w:r>
            <w:r/>
          </w:p>
          <w:p>
            <w:pPr>
              <w:pStyle w:val="1318"/>
            </w:pPr>
            <w:r>
              <w:t xml:space="preserve">Обновление справочника «Книга регистрации лицевых счетов».</w:t>
            </w:r>
            <w:r/>
          </w:p>
          <w:p>
            <w:pPr>
              <w:pStyle w:val="1316"/>
              <w:rPr>
                <w:u w:val="single"/>
              </w:rPr>
            </w:pPr>
            <w:r>
              <w:rPr>
                <w:u w:val="single"/>
              </w:rPr>
              <w:t xml:space="preserve">Документ «Извещение в ФНС по Лицевому счёту»:</w:t>
            </w:r>
            <w:r>
              <w:rPr>
                <w:u w:val="single"/>
              </w:rPr>
            </w:r>
          </w:p>
          <w:p>
            <w:pPr>
              <w:pStyle w:val="1318"/>
            </w:pPr>
            <w:r>
              <w:t xml:space="preserve">Просмотр Извещения;</w:t>
            </w:r>
            <w:r/>
          </w:p>
          <w:p>
            <w:pPr>
              <w:pStyle w:val="1318"/>
            </w:pPr>
            <w:r>
              <w:t xml:space="preserve">Отправка Извещения в ФНС;</w:t>
            </w:r>
            <w:r/>
          </w:p>
          <w:p>
            <w:pPr>
              <w:pStyle w:val="1318"/>
            </w:pPr>
            <w:r>
              <w:t xml:space="preserve">Печать Извещения.</w:t>
            </w:r>
            <w:r/>
          </w:p>
          <w:p>
            <w:pPr>
              <w:pStyle w:val="1316"/>
              <w:rPr>
                <w:u w:val="single"/>
              </w:rPr>
            </w:pPr>
            <w:r>
              <w:rPr>
                <w:u w:val="single"/>
              </w:rPr>
              <w:t xml:space="preserve">Документ «Уведомление клиента ЛС»:</w:t>
            </w:r>
            <w:r>
              <w:rPr>
                <w:u w:val="single"/>
              </w:rPr>
            </w:r>
          </w:p>
          <w:p>
            <w:pPr>
              <w:pStyle w:val="1318"/>
            </w:pPr>
            <w:r>
              <w:t xml:space="preserve">Формирование Уведомления;</w:t>
            </w:r>
            <w:r/>
          </w:p>
          <w:p>
            <w:pPr>
              <w:pStyle w:val="1318"/>
            </w:pPr>
            <w:r>
              <w:t xml:space="preserve">Просмотр Уведомления;</w:t>
            </w:r>
            <w:r/>
          </w:p>
          <w:p>
            <w:pPr>
              <w:pStyle w:val="1318"/>
            </w:pPr>
            <w:r>
              <w:t xml:space="preserve">Согласование Уведомления на уровне </w:t>
            </w:r>
            <w:r>
              <w:t xml:space="preserve">Клиент</w:t>
            </w:r>
            <w:r>
              <w:t xml:space="preserve">;</w:t>
            </w:r>
            <w:r/>
          </w:p>
          <w:p>
            <w:pPr>
              <w:pStyle w:val="1318"/>
            </w:pPr>
            <w:r>
              <w:t xml:space="preserve">Утверждение Уведомления на уровне </w:t>
            </w:r>
            <w:r>
              <w:t xml:space="preserve">Клиент</w:t>
            </w:r>
            <w:r>
              <w:t xml:space="preserve">;</w:t>
            </w:r>
            <w:r/>
          </w:p>
          <w:p>
            <w:pPr>
              <w:pStyle w:val="1318"/>
            </w:pPr>
            <w:r>
              <w:t xml:space="preserve">Печать Уведомления.</w:t>
            </w:r>
            <w:r/>
          </w:p>
          <w:p>
            <w:pPr>
              <w:pStyle w:val="1316"/>
              <w:rPr>
                <w:u w:val="single"/>
              </w:rPr>
            </w:pPr>
            <w:r>
              <w:rPr>
                <w:u w:val="single"/>
              </w:rPr>
              <w:t xml:space="preserve">Документ «Уведомление ЛС»:</w:t>
            </w:r>
            <w:r>
              <w:rPr>
                <w:u w:val="single"/>
              </w:rPr>
            </w:r>
          </w:p>
          <w:p>
            <w:pPr>
              <w:pStyle w:val="1318"/>
            </w:pPr>
            <w:r>
              <w:t xml:space="preserve">Просмотр Уведомления;</w:t>
            </w:r>
            <w:r/>
          </w:p>
          <w:p>
            <w:pPr>
              <w:pStyle w:val="1318"/>
            </w:pPr>
            <w:r>
              <w:t xml:space="preserve">Утверждение Уведомления на уровне </w:t>
            </w:r>
            <w:r>
              <w:t xml:space="preserve">Клиент</w:t>
            </w:r>
            <w:r>
              <w:t xml:space="preserve">;</w:t>
            </w:r>
            <w:r/>
          </w:p>
          <w:p>
            <w:pPr>
              <w:pStyle w:val="1318"/>
            </w:pPr>
            <w:r>
              <w:t xml:space="preserve">Печать Уведомления.</w:t>
            </w:r>
            <w:r/>
          </w:p>
          <w:p>
            <w:pPr>
              <w:pStyle w:val="1316"/>
              <w:rPr>
                <w:u w:val="single"/>
              </w:rPr>
            </w:pPr>
            <w:r>
              <w:rPr>
                <w:u w:val="single"/>
              </w:rPr>
              <w:t xml:space="preserve">Документ «Протоколы ЛС»:</w:t>
            </w:r>
            <w:r>
              <w:rPr>
                <w:u w:val="single"/>
              </w:rPr>
            </w:r>
          </w:p>
          <w:p>
            <w:pPr>
              <w:pStyle w:val="1318"/>
            </w:pPr>
            <w:r>
              <w:t xml:space="preserve">Формирование Протокола;</w:t>
            </w:r>
            <w:r/>
          </w:p>
          <w:p>
            <w:pPr>
              <w:pStyle w:val="1318"/>
            </w:pPr>
            <w:r>
              <w:t xml:space="preserve">Редактирование атрибутов Протокола;</w:t>
            </w:r>
            <w:r/>
          </w:p>
          <w:p>
            <w:pPr>
              <w:pStyle w:val="1318"/>
            </w:pPr>
            <w:r>
              <w:t xml:space="preserve">Утверждение Протокола;</w:t>
            </w:r>
            <w:r/>
          </w:p>
          <w:p>
            <w:pPr>
              <w:pStyle w:val="1318"/>
            </w:pPr>
            <w:r>
              <w:t xml:space="preserve">Просмотр Протокола;</w:t>
            </w:r>
            <w:r/>
          </w:p>
          <w:p>
            <w:pPr>
              <w:pStyle w:val="1318"/>
            </w:pPr>
            <w:r>
              <w:t xml:space="preserve">Печать Протокола.</w:t>
            </w:r>
            <w:r/>
          </w:p>
          <w:p>
            <w:pPr>
              <w:pStyle w:val="1316"/>
              <w:rPr>
                <w:u w:val="single"/>
              </w:rPr>
            </w:pPr>
            <w:r>
              <w:rPr>
                <w:u w:val="single"/>
              </w:rPr>
              <w:t xml:space="preserve">Документ «Информация о реквизитах ЛС»:</w:t>
            </w:r>
            <w:r>
              <w:rPr>
                <w:u w:val="single"/>
              </w:rPr>
            </w:r>
          </w:p>
          <w:p>
            <w:pPr>
              <w:pStyle w:val="1318"/>
            </w:pPr>
            <w:r>
              <w:t xml:space="preserve">Формирование Информации;</w:t>
            </w:r>
            <w:r/>
          </w:p>
          <w:p>
            <w:pPr>
              <w:pStyle w:val="1318"/>
            </w:pPr>
            <w:r>
              <w:t xml:space="preserve">Просмотр Информации;</w:t>
            </w:r>
            <w:r/>
          </w:p>
          <w:p>
            <w:pPr>
              <w:pStyle w:val="1318"/>
            </w:pPr>
            <w:r>
              <w:t xml:space="preserve">Печать Информации.</w:t>
            </w:r>
            <w:r/>
          </w:p>
          <w:p>
            <w:pPr>
              <w:pStyle w:val="1316"/>
              <w:rPr>
                <w:u w:val="single"/>
              </w:rPr>
            </w:pPr>
            <w:r>
              <w:rPr>
                <w:u w:val="single"/>
              </w:rPr>
              <w:t xml:space="preserve">Документ «Уведомление о необходимости закрытия ЛС»:</w:t>
            </w:r>
            <w:r>
              <w:rPr>
                <w:u w:val="single"/>
              </w:rPr>
            </w:r>
          </w:p>
          <w:p>
            <w:pPr>
              <w:pStyle w:val="1318"/>
            </w:pPr>
            <w:r>
              <w:t xml:space="preserve">Просмотр Уведомления.</w:t>
            </w:r>
            <w:r/>
          </w:p>
          <w:p>
            <w:pPr>
              <w:pStyle w:val="1316"/>
              <w:rPr>
                <w:u w:val="single"/>
              </w:rPr>
            </w:pPr>
            <w:r>
              <w:rPr>
                <w:u w:val="single"/>
              </w:rPr>
              <w:t xml:space="preserve">Чтение записей справочников / документов, необходимых для открытия лицевого счета:</w:t>
            </w:r>
            <w:r>
              <w:rPr>
                <w:u w:val="single"/>
              </w:rPr>
            </w:r>
          </w:p>
          <w:p>
            <w:pPr>
              <w:pStyle w:val="1318"/>
            </w:pPr>
            <w:r>
              <w:t xml:space="preserve">Книга регистрации лицевых счетов;</w:t>
            </w:r>
            <w:r/>
          </w:p>
          <w:p>
            <w:pPr>
              <w:pStyle w:val="1318"/>
            </w:pPr>
            <w:r>
              <w:t xml:space="preserve">Сводный реестр;</w:t>
            </w:r>
            <w:r/>
          </w:p>
          <w:p>
            <w:pPr>
              <w:pStyle w:val="1318"/>
            </w:pPr>
            <w:r>
              <w:t xml:space="preserve">Полномочия;</w:t>
            </w:r>
            <w:r/>
          </w:p>
          <w:p>
            <w:pPr>
              <w:pStyle w:val="1318"/>
            </w:pPr>
            <w:r>
              <w:t xml:space="preserve">Извещения СВР;</w:t>
            </w:r>
            <w:r/>
          </w:p>
          <w:p>
            <w:pPr>
              <w:pStyle w:val="1318"/>
            </w:pPr>
            <w:r>
              <w:t xml:space="preserve">Реестр ИП и КФХ;</w:t>
            </w:r>
            <w:r/>
          </w:p>
          <w:p>
            <w:pPr>
              <w:pStyle w:val="1318"/>
            </w:pPr>
            <w:r>
              <w:t xml:space="preserve">ТОФК;</w:t>
            </w:r>
            <w:r/>
          </w:p>
          <w:p>
            <w:pPr>
              <w:pStyle w:val="1318"/>
            </w:pPr>
            <w:r>
              <w:t xml:space="preserve">Типы лицевых счетов;</w:t>
            </w:r>
            <w:r/>
          </w:p>
          <w:p>
            <w:pPr>
              <w:pStyle w:val="1318"/>
            </w:pPr>
            <w:r>
              <w:t xml:space="preserve">Коды систем;</w:t>
            </w:r>
            <w:r/>
          </w:p>
          <w:p>
            <w:pPr>
              <w:pStyle w:val="1318"/>
            </w:pPr>
            <w:r>
              <w:t xml:space="preserve">Книга регистрации казначейских счетов;</w:t>
            </w:r>
            <w:r/>
          </w:p>
          <w:p>
            <w:pPr>
              <w:pStyle w:val="1318"/>
            </w:pPr>
            <w:r>
              <w:t xml:space="preserve">Перечень бюджетов;</w:t>
            </w:r>
            <w:r/>
          </w:p>
          <w:p>
            <w:pPr>
              <w:pStyle w:val="1318"/>
            </w:pPr>
            <w:r>
              <w:t xml:space="preserve">Статусы плательщика;</w:t>
            </w:r>
            <w:r/>
          </w:p>
          <w:p>
            <w:pPr>
              <w:pStyle w:val="1318"/>
            </w:pPr>
            <w:r>
              <w:t xml:space="preserve">Коды субсидий НУБП;</w:t>
            </w:r>
            <w:r/>
          </w:p>
          <w:p>
            <w:pPr>
              <w:pStyle w:val="1318"/>
            </w:pPr>
            <w:r>
              <w:t xml:space="preserve">Аналитические коды поступлений и источников;</w:t>
            </w:r>
            <w:r/>
          </w:p>
          <w:p>
            <w:pPr>
              <w:pStyle w:val="1318"/>
            </w:pPr>
            <w:r>
              <w:t xml:space="preserve">Технологическая таблица СВР;</w:t>
            </w:r>
            <w:r/>
          </w:p>
          <w:p>
            <w:pPr>
              <w:pStyle w:val="1318"/>
            </w:pPr>
            <w:r>
              <w:t xml:space="preserve">Субъекты РФ по КЛАДР;</w:t>
            </w:r>
            <w:r/>
          </w:p>
          <w:p>
            <w:pPr>
              <w:pStyle w:val="1318"/>
            </w:pPr>
            <w:r>
              <w:t xml:space="preserve">КЛАДР.Раздел 1;</w:t>
            </w:r>
            <w:r/>
          </w:p>
          <w:p>
            <w:pPr>
              <w:pStyle w:val="1318"/>
            </w:pPr>
            <w:r>
              <w:t xml:space="preserve">Главы;</w:t>
            </w:r>
            <w:r/>
          </w:p>
          <w:p>
            <w:pPr>
              <w:pStyle w:val="1318"/>
            </w:pPr>
            <w:r>
              <w:t xml:space="preserve">Схемы обслуживания ЛС;</w:t>
            </w:r>
            <w:r/>
          </w:p>
          <w:p>
            <w:pPr>
              <w:pStyle w:val="1318"/>
            </w:pPr>
            <w:r>
              <w:t xml:space="preserve">Типы документов-оснований;</w:t>
            </w:r>
            <w:r/>
          </w:p>
          <w:p>
            <w:pPr>
              <w:pStyle w:val="1318"/>
            </w:pPr>
            <w:r>
              <w:t xml:space="preserve">Центры специализации;</w:t>
            </w:r>
            <w:r/>
          </w:p>
          <w:p>
            <w:pPr>
              <w:pStyle w:val="1318"/>
            </w:pPr>
            <w:r>
              <w:t xml:space="preserve">Шаблон Согласования Решения</w:t>
            </w:r>
            <w:r/>
          </w:p>
        </w:tc>
      </w:tr>
      <w:tr>
        <w:tblPrEx/>
        <w:trPr/>
        <w:tc>
          <w:tcPr>
            <w:tcW w:w="1140" w:type="pct"/>
            <w:textDirection w:val="lrTb"/>
            <w:noWrap w:val="false"/>
          </w:tcPr>
          <w:p>
            <w:pPr>
              <w:pStyle w:val="1316"/>
            </w:pPr>
            <w:r>
              <w:t xml:space="preserve">НСИ.001. Саморегистрация. Исполнитель ЛС</w:t>
            </w:r>
            <w:r/>
          </w:p>
        </w:tc>
        <w:tc>
          <w:tcPr>
            <w:tcW w:w="1140" w:type="pct"/>
            <w:textDirection w:val="lrTb"/>
            <w:noWrap w:val="false"/>
          </w:tcPr>
          <w:p>
            <w:pPr>
              <w:pStyle w:val="1316"/>
            </w:pPr>
            <w:r>
              <w:t xml:space="preserve">Саморегистрация. Исполнитель ЛС</w:t>
            </w:r>
            <w:r/>
          </w:p>
        </w:tc>
        <w:tc>
          <w:tcPr>
            <w:tcW w:w="2720" w:type="pct"/>
            <w:textDirection w:val="lrTb"/>
            <w:noWrap w:val="false"/>
          </w:tcPr>
          <w:p>
            <w:pPr>
              <w:pStyle w:val="1316"/>
              <w:rPr>
                <w:u w:val="single"/>
              </w:rPr>
            </w:pPr>
            <w:r>
              <w:rPr>
                <w:u w:val="single"/>
              </w:rPr>
              <w:t xml:space="preserve">Документ </w:t>
            </w:r>
            <w:r>
              <w:rPr>
                <w:u w:val="single"/>
              </w:rPr>
              <w:t xml:space="preserve">«Заявление на изменение справочника «Книга регистрации лицевых счетов»</w:t>
            </w:r>
            <w:r>
              <w:rPr>
                <w:u w:val="single"/>
              </w:rPr>
              <w:t xml:space="preserve">:</w:t>
            </w:r>
            <w:r>
              <w:rPr>
                <w:u w:val="single"/>
              </w:rPr>
            </w:r>
          </w:p>
          <w:p>
            <w:pPr>
              <w:pStyle w:val="1318"/>
            </w:pPr>
            <w:r>
              <w:t xml:space="preserve">Создание заявки (тип заявки: Резервирование)</w:t>
            </w:r>
            <w:r>
              <w:t xml:space="preserve">;</w:t>
            </w:r>
            <w:r/>
          </w:p>
          <w:p>
            <w:pPr>
              <w:pStyle w:val="1318"/>
            </w:pPr>
            <w:r>
              <w:t xml:space="preserve">Редактирование атрибутов заявки;</w:t>
            </w:r>
            <w:r/>
          </w:p>
          <w:p>
            <w:pPr>
              <w:pStyle w:val="1318"/>
            </w:pPr>
            <w:r>
              <w:t xml:space="preserve">Просмотр заявки;</w:t>
            </w:r>
            <w:r/>
          </w:p>
          <w:p>
            <w:pPr>
              <w:pStyle w:val="1318"/>
            </w:pPr>
            <w:r>
              <w:t xml:space="preserve">Печать заявки;</w:t>
            </w:r>
            <w:r/>
          </w:p>
          <w:p>
            <w:pPr>
              <w:pStyle w:val="1318"/>
            </w:pPr>
            <w:r>
              <w:t xml:space="preserve">Создание документа «Реестр заявок на изменение Сводного реестра» (на включение новой организации);</w:t>
            </w:r>
            <w:r/>
          </w:p>
          <w:p>
            <w:pPr>
              <w:pStyle w:val="1318"/>
            </w:pPr>
            <w:r>
              <w:t xml:space="preserve">Создание документа «Реестр заявок на включение (изменение) записи реестр ИП и КФХ» (на включение новой организации).</w:t>
            </w:r>
            <w:r/>
          </w:p>
          <w:p>
            <w:pPr>
              <w:pStyle w:val="1316"/>
              <w:rPr>
                <w:u w:val="single"/>
              </w:rPr>
            </w:pPr>
            <w:r>
              <w:rPr>
                <w:u w:val="single"/>
              </w:rPr>
              <w:t xml:space="preserve">Документ «Информация о реквизитах ЛС»:</w:t>
            </w:r>
            <w:r>
              <w:rPr>
                <w:u w:val="single"/>
              </w:rPr>
            </w:r>
          </w:p>
          <w:p>
            <w:pPr>
              <w:pStyle w:val="1318"/>
            </w:pPr>
            <w:r>
              <w:t xml:space="preserve">Формирование Информации;</w:t>
            </w:r>
            <w:r/>
          </w:p>
          <w:p>
            <w:pPr>
              <w:pStyle w:val="1318"/>
            </w:pPr>
            <w:r>
              <w:t xml:space="preserve">Просмотр Информации;</w:t>
            </w:r>
            <w:r/>
          </w:p>
          <w:p>
            <w:pPr>
              <w:pStyle w:val="1318"/>
            </w:pPr>
            <w:r>
              <w:t xml:space="preserve">Печать Информации.</w:t>
            </w:r>
            <w:r/>
          </w:p>
          <w:p>
            <w:pPr>
              <w:pStyle w:val="1316"/>
              <w:rPr>
                <w:u w:val="single"/>
              </w:rPr>
            </w:pPr>
            <w:r>
              <w:rPr>
                <w:u w:val="single"/>
              </w:rPr>
              <w:t xml:space="preserve">Чтение записей справочников, необходимых для открытия лицевого счета:</w:t>
            </w:r>
            <w:r>
              <w:rPr>
                <w:u w:val="single"/>
              </w:rPr>
            </w:r>
          </w:p>
          <w:p>
            <w:pPr>
              <w:pStyle w:val="1318"/>
            </w:pPr>
            <w:r>
              <w:t xml:space="preserve">Книга регистрации лицевых счетов;</w:t>
            </w:r>
            <w:r/>
          </w:p>
          <w:p>
            <w:pPr>
              <w:pStyle w:val="1318"/>
            </w:pPr>
            <w:r>
              <w:t xml:space="preserve">Сводный реестр;</w:t>
            </w:r>
            <w:r/>
          </w:p>
          <w:p>
            <w:pPr>
              <w:pStyle w:val="1318"/>
            </w:pPr>
            <w:r>
              <w:t xml:space="preserve">Реестр ИП и КФХ;</w:t>
            </w:r>
            <w:r/>
          </w:p>
          <w:p>
            <w:pPr>
              <w:pStyle w:val="1318"/>
            </w:pPr>
            <w:r>
              <w:t xml:space="preserve">Коды систем;</w:t>
            </w:r>
            <w:r/>
          </w:p>
          <w:p>
            <w:pPr>
              <w:pStyle w:val="1318"/>
            </w:pPr>
            <w:r>
              <w:t xml:space="preserve">Перечень бюджетов;</w:t>
            </w:r>
            <w:r/>
          </w:p>
          <w:p>
            <w:pPr>
              <w:pStyle w:val="1318"/>
            </w:pPr>
            <w:r>
              <w:t xml:space="preserve">Субъекты РФ по КЛАДР;</w:t>
            </w:r>
            <w:r/>
          </w:p>
          <w:p>
            <w:pPr>
              <w:pStyle w:val="1318"/>
            </w:pPr>
            <w:r>
              <w:t xml:space="preserve">КЛАДР.Раздел 1</w:t>
            </w:r>
            <w:r/>
          </w:p>
        </w:tc>
      </w:tr>
    </w:tbl>
    <w:p>
      <w:pPr>
        <w:pStyle w:val="1282"/>
      </w:pPr>
      <w:r/>
      <w:bookmarkStart w:id="37" w:name="_Toc481076311"/>
      <w:r/>
      <w:bookmarkStart w:id="38" w:name="_Toc481078266"/>
      <w:r/>
      <w:bookmarkStart w:id="39" w:name="_Toc162436003"/>
      <w:r/>
      <w:bookmarkStart w:id="40" w:name="_Toc162884819"/>
      <w:r/>
      <w:bookmarkStart w:id="41" w:name="_Ref166569190"/>
      <w:r/>
      <w:bookmarkStart w:id="42" w:name="_Toc221869882"/>
      <w:r>
        <w:t xml:space="preserve">Уровень подготовки пользователя</w:t>
      </w:r>
      <w:bookmarkEnd w:id="37"/>
      <w:r/>
      <w:bookmarkEnd w:id="38"/>
      <w:r/>
      <w:bookmarkEnd w:id="39"/>
      <w:r/>
      <w:bookmarkEnd w:id="40"/>
      <w:r/>
      <w:bookmarkEnd w:id="41"/>
      <w:r/>
      <w:bookmarkEnd w:id="42"/>
      <w:r/>
      <w:r/>
    </w:p>
    <w:p>
      <w:pPr>
        <w:pStyle w:val="1305"/>
      </w:pPr>
      <w:r>
        <w:t xml:space="preserve">Пользователи должны иметь навыки работы с компьютером и общим ПО (ОС, офисное ПО) в объеме навыков пользователей персональных компьютеров. В том числе обладать навыками работы с браузерами Яндекс.Браузер</w:t>
      </w:r>
      <w:r>
        <w:t xml:space="preserve">, </w:t>
      </w:r>
      <w:r>
        <w:rPr>
          <w:rFonts w:eastAsia="Arial Unicode MS"/>
        </w:rPr>
        <w:t xml:space="preserve">Сhromium-gost</w:t>
      </w:r>
      <w:r>
        <w:t xml:space="preserve">, а также с программными средствами MS </w:t>
      </w:r>
      <w:r>
        <w:rPr>
          <w:lang w:val="en-US"/>
        </w:rPr>
        <w:t xml:space="preserve">Office</w:t>
      </w:r>
      <w:r>
        <w:t xml:space="preserve"> (и/или другими пакетами офисного ПО из реестра российских программ для электронных вычислительных машин и баз данных Министерства </w:t>
      </w:r>
      <w:r>
        <w:rPr>
          <w:rFonts w:eastAsia="Arial Unicode MS"/>
        </w:rPr>
        <w:t xml:space="preserve">цифрового развития, связи и массовых коммуникаций Российской Федерации</w:t>
      </w:r>
      <w:r>
        <w:t xml:space="preserve">).</w:t>
      </w:r>
      <w:r/>
    </w:p>
    <w:p>
      <w:pPr>
        <w:pStyle w:val="1305"/>
      </w:pPr>
      <w:r>
        <w:t xml:space="preserve">С</w:t>
      </w:r>
      <w:r>
        <w:t xml:space="preserve">пециальная подготовка пользователей должна включать в себя получение знаний и навыков работы с комплексом технических средств и прикладного программного обеспечения Системы в объеме, необходимом для исполнения пользователями своих должностных обязанностей.</w:t>
      </w:r>
      <w:r/>
    </w:p>
    <w:p>
      <w:pPr>
        <w:pStyle w:val="1306"/>
      </w:pPr>
      <w:r>
        <w:t xml:space="preserve">Пользователями </w:t>
      </w:r>
      <w:r>
        <w:t xml:space="preserve">Модуля ведения ЛС НСИ ЭБ</w:t>
      </w:r>
      <w:r>
        <w:t xml:space="preserve"> являются уполномоченные лица организаций сектора государственного управления – субъекты</w:t>
      </w:r>
      <w:r>
        <w:t xml:space="preserve">, участники казначейского сопровождения</w:t>
      </w:r>
      <w:r>
        <w:t xml:space="preserve"> и пользователи отчетности</w:t>
      </w:r>
      <w:r>
        <w:t xml:space="preserve">:</w:t>
      </w:r>
      <w:r/>
    </w:p>
    <w:p>
      <w:pPr>
        <w:pStyle w:val="1296"/>
      </w:pPr>
      <w:r>
        <w:t xml:space="preserve">получатели средств федерального бюджета;</w:t>
      </w:r>
      <w:r/>
    </w:p>
    <w:p>
      <w:pPr>
        <w:pStyle w:val="1296"/>
      </w:pPr>
      <w:r>
        <w:t xml:space="preserve">федеральные бюджетные и автономные учреждения;</w:t>
      </w:r>
      <w:r/>
    </w:p>
    <w:p>
      <w:pPr>
        <w:pStyle w:val="1296"/>
      </w:pPr>
      <w:r>
        <w:t xml:space="preserve">распорядители средств федерального бюджета;</w:t>
      </w:r>
      <w:r/>
    </w:p>
    <w:p>
      <w:pPr>
        <w:pStyle w:val="1296"/>
      </w:pPr>
      <w:r>
        <w:t xml:space="preserve">главные распорядители средств федерального бюджета;</w:t>
      </w:r>
      <w:r/>
    </w:p>
    <w:p>
      <w:pPr>
        <w:pStyle w:val="1296"/>
      </w:pPr>
      <w:r>
        <w:t xml:space="preserve">администраторы доходов федерального бюджета;</w:t>
      </w:r>
      <w:r/>
    </w:p>
    <w:p>
      <w:pPr>
        <w:pStyle w:val="1296"/>
      </w:pPr>
      <w:r>
        <w:t xml:space="preserve">главные администраторы доходов федерального бюджета (администраторы с полномочиями главных администраторов);</w:t>
      </w:r>
      <w:r/>
    </w:p>
    <w:p>
      <w:pPr>
        <w:pStyle w:val="1296"/>
      </w:pPr>
      <w:r>
        <w:t xml:space="preserve">администраторы источников финансирования дефицита федерального бюджета;</w:t>
      </w:r>
      <w:r/>
    </w:p>
    <w:p>
      <w:pPr>
        <w:pStyle w:val="1296"/>
      </w:pPr>
      <w:r>
        <w:t xml:space="preserve">главные администраторы источников финансирования дефицита федерального бюджета (администраторы с полномочиями главных администраторов);</w:t>
      </w:r>
      <w:r/>
    </w:p>
    <w:p>
      <w:pPr>
        <w:pStyle w:val="1296"/>
      </w:pPr>
      <w:r>
        <w:t xml:space="preserve">иные получатели бюджетных средств;</w:t>
      </w:r>
      <w:r/>
    </w:p>
    <w:p>
      <w:pPr>
        <w:pStyle w:val="1296"/>
      </w:pPr>
      <w:r>
        <w:t xml:space="preserve">п</w:t>
      </w:r>
      <w:r>
        <w:t xml:space="preserve">олучатели целевых средств по государственному (муниципальному) контракту, договору (соглашению), контракту (договору), источником финансового обеспечения исполнения которых являются целевые средства, предоставленные из разных бюджетов бюджетной системы РФ;</w:t>
      </w:r>
      <w:r/>
    </w:p>
    <w:p>
      <w:pPr>
        <w:pStyle w:val="1296"/>
      </w:pPr>
      <w:r>
        <w:t xml:space="preserve">ГВФ РФ;</w:t>
      </w:r>
      <w:r/>
    </w:p>
    <w:p>
      <w:pPr>
        <w:pStyle w:val="1296"/>
      </w:pPr>
      <w:r>
        <w:t xml:space="preserve">ФО субъекта РФ; </w:t>
      </w:r>
      <w:r/>
    </w:p>
    <w:p>
      <w:pPr>
        <w:pStyle w:val="1296"/>
      </w:pPr>
      <w:r>
        <w:t xml:space="preserve">ТОФК;</w:t>
      </w:r>
      <w:r/>
    </w:p>
    <w:p>
      <w:pPr>
        <w:pStyle w:val="1296"/>
      </w:pPr>
      <w:r>
        <w:t xml:space="preserve">МОУ ФК.</w:t>
      </w:r>
      <w:r/>
    </w:p>
    <w:p>
      <w:pPr>
        <w:pStyle w:val="1282"/>
        <w:jc w:val="both"/>
      </w:pPr>
      <w:r/>
      <w:bookmarkStart w:id="43" w:name="_Toc481076312"/>
      <w:r/>
      <w:bookmarkStart w:id="44" w:name="_Toc481078267"/>
      <w:r/>
      <w:bookmarkStart w:id="45" w:name="_Toc162436004"/>
      <w:r/>
      <w:bookmarkStart w:id="46" w:name="_Toc162884820"/>
      <w:r/>
      <w:bookmarkStart w:id="47" w:name="_Toc221869883"/>
      <w:r>
        <w:t xml:space="preserve">Перечень документации, с которой необходимо ознакомиться пользователю</w:t>
      </w:r>
      <w:bookmarkEnd w:id="43"/>
      <w:r/>
      <w:bookmarkEnd w:id="44"/>
      <w:r/>
      <w:bookmarkEnd w:id="45"/>
      <w:r/>
      <w:bookmarkEnd w:id="46"/>
      <w:r/>
      <w:bookmarkEnd w:id="47"/>
      <w:r/>
      <w:r/>
    </w:p>
    <w:p>
      <w:pPr>
        <w:pStyle w:val="1306"/>
      </w:pPr>
      <w:r>
        <w:t xml:space="preserve">Для работы Пользователю необходимо ознакомиться </w:t>
      </w:r>
      <w:r>
        <w:t xml:space="preserve">с действующими нормативно</w:t>
      </w:r>
      <w:r>
        <w:t xml:space="preserve">-</w:t>
      </w:r>
      <w:r>
        <w:t xml:space="preserve">правовыми актами РФ, утверждающи</w:t>
      </w:r>
      <w:r>
        <w:t xml:space="preserve">ми</w:t>
      </w:r>
      <w:r>
        <w:t xml:space="preserve"> порядок открытия лицевых счетов территориальными органами Федерального казначейства</w:t>
      </w:r>
      <w:r>
        <w:t xml:space="preserve">; </w:t>
      </w:r>
      <w:r>
        <w:t xml:space="preserve">с документом «</w:t>
      </w:r>
      <w:r>
        <w:t xml:space="preserve">Руководство работников (представителей) участников системы «Электронный бюджет» по работе с подсистемой (компонентом, модулем)</w:t>
      </w:r>
      <w:r>
        <w:t xml:space="preserve">»</w:t>
      </w:r>
      <w:r>
        <w:t xml:space="preserve">:</w:t>
      </w:r>
      <w:r/>
    </w:p>
    <w:p>
      <w:pPr>
        <w:pStyle w:val="1296"/>
      </w:pPr>
      <w:r>
        <w:t xml:space="preserve">модуль ведения лицевых счетов </w:t>
      </w:r>
      <w:r>
        <w:t xml:space="preserve">(текущий документ)</w:t>
      </w:r>
      <w:r>
        <w:t xml:space="preserve">; </w:t>
      </w:r>
      <w:r/>
    </w:p>
    <w:p>
      <w:pPr>
        <w:pStyle w:val="1296"/>
      </w:pPr>
      <w:r>
        <w:t xml:space="preserve">модуль централизованного ведения и распространения нормативно-справочной информации</w:t>
      </w:r>
      <w:r>
        <w:t xml:space="preserve">, в части просмотра записей справочник</w:t>
      </w:r>
      <w:r>
        <w:t xml:space="preserve">ов </w:t>
      </w:r>
      <w:r>
        <w:t xml:space="preserve">«Коды систем»</w:t>
      </w:r>
      <w:r>
        <w:t xml:space="preserve">, «КЛАДР.Раздел1», «Субъекты РФ по КЛАДР»</w:t>
      </w:r>
      <w:r>
        <w:t xml:space="preserve">;</w:t>
      </w:r>
      <w:r/>
    </w:p>
    <w:p>
      <w:pPr>
        <w:pStyle w:val="1296"/>
      </w:pPr>
      <w:r>
        <w:t xml:space="preserve">модуль формирования и ведения реестра участников бюджетного процесса, а также юридических лиц, не являющихся участниками бюджетного процесса, в части ведения справочник</w:t>
      </w:r>
      <w:r>
        <w:t xml:space="preserve">ов</w:t>
      </w:r>
      <w:r>
        <w:t xml:space="preserve"> «Шабло</w:t>
      </w:r>
      <w:r>
        <w:t xml:space="preserve">н согласования заявки», «Шаблон</w:t>
      </w:r>
      <w:r>
        <w:t xml:space="preserve"> согласования решения».</w:t>
      </w:r>
      <w:r/>
    </w:p>
    <w:p>
      <w:pPr>
        <w:pStyle w:val="1281"/>
      </w:pPr>
      <w:r/>
      <w:bookmarkStart w:id="48" w:name="_Toc162885581"/>
      <w:r/>
      <w:bookmarkStart w:id="49" w:name="_Toc162885582"/>
      <w:r/>
      <w:bookmarkStart w:id="50" w:name="_Toc162885583"/>
      <w:r/>
      <w:bookmarkStart w:id="51" w:name="_Toc162885584"/>
      <w:r/>
      <w:bookmarkStart w:id="52" w:name="_Toc162885585"/>
      <w:r/>
      <w:bookmarkStart w:id="53" w:name="_Toc162885586"/>
      <w:r/>
      <w:bookmarkStart w:id="54" w:name="_Toc162885587"/>
      <w:r/>
      <w:bookmarkStart w:id="55" w:name="_Toc162885588"/>
      <w:r/>
      <w:bookmarkStart w:id="56" w:name="_Toc162885589"/>
      <w:r/>
      <w:bookmarkStart w:id="57" w:name="_Toc162885590"/>
      <w:r/>
      <w:bookmarkStart w:id="58" w:name="_Toc162885591"/>
      <w:r/>
      <w:bookmarkStart w:id="59" w:name="_Toc162885592"/>
      <w:r/>
      <w:bookmarkStart w:id="60" w:name="_Toc162885593"/>
      <w:r/>
      <w:bookmarkStart w:id="61" w:name="_Toc162885594"/>
      <w:r/>
      <w:bookmarkStart w:id="62" w:name="_Toc162885595"/>
      <w:r/>
      <w:bookmarkStart w:id="63" w:name="_Toc162885596"/>
      <w:r/>
      <w:bookmarkStart w:id="64" w:name="_Toc162885597"/>
      <w:r/>
      <w:bookmarkStart w:id="65" w:name="_Toc162885598"/>
      <w:r/>
      <w:bookmarkStart w:id="66" w:name="_Toc162885599"/>
      <w:r/>
      <w:bookmarkStart w:id="67" w:name="_Toc162885600"/>
      <w:r/>
      <w:bookmarkStart w:id="68" w:name="_Toc162885601"/>
      <w:r/>
      <w:bookmarkStart w:id="69" w:name="_Toc162885602"/>
      <w:r/>
      <w:bookmarkStart w:id="70" w:name="_Toc162885603"/>
      <w:r/>
      <w:bookmarkStart w:id="71" w:name="_Toc162885604"/>
      <w:r/>
      <w:bookmarkStart w:id="72" w:name="_Toc162885605"/>
      <w:r/>
      <w:bookmarkStart w:id="73" w:name="_Toc162885606"/>
      <w:r/>
      <w:bookmarkStart w:id="74" w:name="_Toc162885607"/>
      <w:r/>
      <w:bookmarkStart w:id="75" w:name="_Toc162885608"/>
      <w:r/>
      <w:bookmarkStart w:id="76" w:name="_Toc162885609"/>
      <w:r/>
      <w:bookmarkStart w:id="77" w:name="_Toc162885610"/>
      <w:r/>
      <w:bookmarkStart w:id="78" w:name="_Toc162885611"/>
      <w:r/>
      <w:bookmarkStart w:id="79" w:name="_Toc162885612"/>
      <w:r/>
      <w:bookmarkStart w:id="80" w:name="_Toc162885613"/>
      <w:r/>
      <w:bookmarkStart w:id="81" w:name="_Toc162885614"/>
      <w:r/>
      <w:bookmarkStart w:id="82" w:name="_Toc162885615"/>
      <w:r/>
      <w:bookmarkStart w:id="83" w:name="_Toc162885616"/>
      <w:r/>
      <w:bookmarkStart w:id="84" w:name="_Toc162885617"/>
      <w:r/>
      <w:bookmarkStart w:id="85" w:name="_Toc162885618"/>
      <w:r/>
      <w:bookmarkStart w:id="86" w:name="_Toc162885619"/>
      <w:r/>
      <w:bookmarkStart w:id="87" w:name="_Toc162885620"/>
      <w:r/>
      <w:bookmarkStart w:id="88" w:name="_Toc162885621"/>
      <w:r/>
      <w:bookmarkStart w:id="89" w:name="_Toc162885622"/>
      <w:r/>
      <w:bookmarkStart w:id="90" w:name="_Toc162885623"/>
      <w:r/>
      <w:bookmarkStart w:id="91" w:name="_Toc162885624"/>
      <w:r/>
      <w:bookmarkStart w:id="92" w:name="_Toc162885625"/>
      <w:r/>
      <w:bookmarkStart w:id="93" w:name="_Toc162885626"/>
      <w:r/>
      <w:bookmarkStart w:id="94" w:name="_Toc162885627"/>
      <w:r/>
      <w:bookmarkStart w:id="95" w:name="_Toc162885628"/>
      <w:r/>
      <w:bookmarkStart w:id="96" w:name="_Toc162885629"/>
      <w:r/>
      <w:bookmarkStart w:id="97" w:name="_Toc162885630"/>
      <w:r/>
      <w:bookmarkStart w:id="98" w:name="_Toc162885631"/>
      <w:r/>
      <w:bookmarkStart w:id="99" w:name="_Toc162885632"/>
      <w:r/>
      <w:bookmarkStart w:id="100" w:name="_Toc162885633"/>
      <w:r/>
      <w:bookmarkStart w:id="101" w:name="_Toc162885634"/>
      <w:r/>
      <w:bookmarkStart w:id="102" w:name="_Toc162885635"/>
      <w:r/>
      <w:bookmarkStart w:id="103" w:name="_Toc162885636"/>
      <w:r/>
      <w:bookmarkStart w:id="104" w:name="_Toc162885637"/>
      <w:r/>
      <w:bookmarkStart w:id="105" w:name="_Toc162885638"/>
      <w:r/>
      <w:bookmarkStart w:id="106" w:name="_Toc162885639"/>
      <w:r/>
      <w:bookmarkStart w:id="107" w:name="_Toc162885640"/>
      <w:r/>
      <w:bookmarkStart w:id="108" w:name="_Toc162885641"/>
      <w:r/>
      <w:bookmarkStart w:id="109" w:name="_Toc162885642"/>
      <w:r/>
      <w:bookmarkStart w:id="110" w:name="_Toc162885643"/>
      <w:r/>
      <w:bookmarkStart w:id="111" w:name="_Toc162885644"/>
      <w:r/>
      <w:bookmarkStart w:id="112" w:name="_Toc162885645"/>
      <w:r/>
      <w:bookmarkStart w:id="113" w:name="_Toc162885646"/>
      <w:r/>
      <w:bookmarkStart w:id="114" w:name="_Toc162885647"/>
      <w:r/>
      <w:bookmarkStart w:id="115" w:name="_Toc162885648"/>
      <w:r/>
      <w:bookmarkStart w:id="116" w:name="_Toc162885649"/>
      <w:r/>
      <w:bookmarkStart w:id="117" w:name="_Toc162885650"/>
      <w:r/>
      <w:bookmarkStart w:id="118" w:name="_Toc162885651"/>
      <w:r/>
      <w:bookmarkStart w:id="119" w:name="_Toc162885652"/>
      <w:r/>
      <w:bookmarkStart w:id="120" w:name="_Toc162885653"/>
      <w:r/>
      <w:bookmarkStart w:id="121" w:name="_Toc162885654"/>
      <w:r/>
      <w:bookmarkStart w:id="122" w:name="_Toc162885655"/>
      <w:r/>
      <w:bookmarkStart w:id="123" w:name="_Toc162885656"/>
      <w:r/>
      <w:bookmarkStart w:id="124" w:name="_Toc162885657"/>
      <w:r/>
      <w:bookmarkStart w:id="125" w:name="_Toc518659863"/>
      <w:r/>
      <w:bookmarkStart w:id="126" w:name="_Toc221869884"/>
      <w:r/>
      <w:bookmarkEnd w:id="14"/>
      <w:r/>
      <w:bookmarkEnd w:id="22"/>
      <w:r/>
      <w:bookmarkEnd w:id="23"/>
      <w:r/>
      <w:bookmarkEnd w:id="24"/>
      <w:r/>
      <w:bookmarkEnd w:id="25"/>
      <w:r/>
      <w:bookmarkEnd w:id="26"/>
      <w:r/>
      <w:bookmarkEnd w:id="48"/>
      <w:r/>
      <w:bookmarkEnd w:id="49"/>
      <w:r/>
      <w:bookmarkEnd w:id="50"/>
      <w:r/>
      <w:bookmarkEnd w:id="51"/>
      <w:r/>
      <w:bookmarkEnd w:id="52"/>
      <w:r/>
      <w:bookmarkEnd w:id="53"/>
      <w:r/>
      <w:bookmarkEnd w:id="54"/>
      <w:r/>
      <w:bookmarkEnd w:id="55"/>
      <w:r/>
      <w:bookmarkEnd w:id="56"/>
      <w:r/>
      <w:bookmarkEnd w:id="57"/>
      <w:r/>
      <w:bookmarkEnd w:id="58"/>
      <w:r/>
      <w:bookmarkEnd w:id="59"/>
      <w:r/>
      <w:bookmarkEnd w:id="60"/>
      <w:r/>
      <w:bookmarkEnd w:id="61"/>
      <w:r/>
      <w:bookmarkEnd w:id="62"/>
      <w:r/>
      <w:bookmarkEnd w:id="63"/>
      <w:r/>
      <w:bookmarkEnd w:id="64"/>
      <w:r/>
      <w:bookmarkEnd w:id="65"/>
      <w:r/>
      <w:bookmarkEnd w:id="66"/>
      <w:r/>
      <w:bookmarkEnd w:id="67"/>
      <w:r/>
      <w:bookmarkEnd w:id="68"/>
      <w:r/>
      <w:bookmarkEnd w:id="69"/>
      <w:r/>
      <w:bookmarkEnd w:id="70"/>
      <w:r/>
      <w:bookmarkEnd w:id="71"/>
      <w:r/>
      <w:bookmarkEnd w:id="72"/>
      <w:r/>
      <w:bookmarkEnd w:id="73"/>
      <w:r/>
      <w:bookmarkEnd w:id="74"/>
      <w:r/>
      <w:bookmarkEnd w:id="75"/>
      <w:r/>
      <w:bookmarkEnd w:id="76"/>
      <w:r/>
      <w:bookmarkEnd w:id="77"/>
      <w:r/>
      <w:bookmarkEnd w:id="78"/>
      <w:r/>
      <w:bookmarkEnd w:id="79"/>
      <w:r/>
      <w:bookmarkEnd w:id="80"/>
      <w:r/>
      <w:bookmarkEnd w:id="81"/>
      <w:r/>
      <w:bookmarkEnd w:id="82"/>
      <w:r/>
      <w:bookmarkEnd w:id="83"/>
      <w:r/>
      <w:bookmarkEnd w:id="84"/>
      <w:r/>
      <w:bookmarkEnd w:id="85"/>
      <w:r/>
      <w:bookmarkEnd w:id="86"/>
      <w:r/>
      <w:bookmarkEnd w:id="87"/>
      <w:r/>
      <w:bookmarkEnd w:id="88"/>
      <w:r/>
      <w:bookmarkEnd w:id="89"/>
      <w:r/>
      <w:bookmarkEnd w:id="90"/>
      <w:r/>
      <w:bookmarkEnd w:id="91"/>
      <w:r/>
      <w:bookmarkEnd w:id="92"/>
      <w:r/>
      <w:bookmarkEnd w:id="93"/>
      <w:r/>
      <w:bookmarkEnd w:id="94"/>
      <w:r/>
      <w:bookmarkEnd w:id="95"/>
      <w:r/>
      <w:bookmarkEnd w:id="96"/>
      <w:r/>
      <w:bookmarkEnd w:id="97"/>
      <w:r/>
      <w:bookmarkEnd w:id="98"/>
      <w:r/>
      <w:bookmarkEnd w:id="99"/>
      <w:r/>
      <w:bookmarkEnd w:id="100"/>
      <w:r/>
      <w:bookmarkEnd w:id="101"/>
      <w:r/>
      <w:bookmarkEnd w:id="102"/>
      <w:r/>
      <w:bookmarkEnd w:id="103"/>
      <w:r/>
      <w:bookmarkEnd w:id="104"/>
      <w:r/>
      <w:bookmarkEnd w:id="105"/>
      <w:r/>
      <w:bookmarkEnd w:id="106"/>
      <w:r/>
      <w:bookmarkEnd w:id="107"/>
      <w:r/>
      <w:bookmarkEnd w:id="108"/>
      <w:r/>
      <w:bookmarkEnd w:id="109"/>
      <w:r/>
      <w:bookmarkEnd w:id="110"/>
      <w:r/>
      <w:bookmarkEnd w:id="111"/>
      <w:r/>
      <w:bookmarkEnd w:id="112"/>
      <w:r/>
      <w:bookmarkEnd w:id="113"/>
      <w:r/>
      <w:bookmarkEnd w:id="114"/>
      <w:r/>
      <w:bookmarkEnd w:id="115"/>
      <w:r/>
      <w:bookmarkEnd w:id="116"/>
      <w:r/>
      <w:bookmarkEnd w:id="117"/>
      <w:r/>
      <w:bookmarkEnd w:id="118"/>
      <w:r/>
      <w:bookmarkEnd w:id="119"/>
      <w:r/>
      <w:bookmarkEnd w:id="120"/>
      <w:r/>
      <w:bookmarkEnd w:id="121"/>
      <w:r/>
      <w:bookmarkEnd w:id="122"/>
      <w:r/>
      <w:bookmarkEnd w:id="123"/>
      <w:r/>
      <w:bookmarkEnd w:id="124"/>
      <w:r>
        <w:t xml:space="preserve">Описание порядка работы с </w:t>
      </w:r>
      <w:bookmarkEnd w:id="125"/>
      <w:r>
        <w:t xml:space="preserve">Модулем ведения ЛС НСИ ЭБ</w:t>
      </w:r>
      <w:bookmarkEnd w:id="126"/>
      <w:r/>
      <w:r/>
    </w:p>
    <w:p>
      <w:pPr>
        <w:pStyle w:val="1306"/>
      </w:pPr>
      <w:r>
        <w:t xml:space="preserve">В целях </w:t>
      </w:r>
      <w:r>
        <w:rPr>
          <w:szCs w:val="28"/>
        </w:rPr>
        <w:t xml:space="preserve">улучшения</w:t>
      </w:r>
      <w:r>
        <w:t xml:space="preserve"> понимания </w:t>
      </w:r>
      <w:r>
        <w:t xml:space="preserve">процессов актуализации, ведения и распространения справочников, используемых в информационных системах ФК, в том числе в ГИИС «Электронного бюджета»,</w:t>
      </w:r>
      <w:r>
        <w:t xml:space="preserve"> пользователю необходимо:</w:t>
      </w:r>
      <w:r/>
    </w:p>
    <w:p>
      <w:pPr>
        <w:pStyle w:val="1296"/>
      </w:pPr>
      <w:r>
        <w:t xml:space="preserve">предварительно ознакомиться с описанием заполнения справочников;</w:t>
      </w:r>
      <w:r/>
    </w:p>
    <w:p>
      <w:pPr>
        <w:pStyle w:val="1296"/>
      </w:pPr>
      <w:r>
        <w:t xml:space="preserve">изучить интерфейс личного кабинета</w:t>
      </w:r>
      <w:r>
        <w:t xml:space="preserve">.</w:t>
      </w:r>
      <w:r/>
    </w:p>
    <w:p>
      <w:pPr>
        <w:pStyle w:val="1281"/>
        <w:ind w:left="431" w:hanging="431"/>
        <w:spacing w:before="0"/>
      </w:pPr>
      <w:r/>
      <w:bookmarkStart w:id="127" w:name="_Ref100071698"/>
      <w:r/>
      <w:bookmarkStart w:id="128" w:name="_Toc221869885"/>
      <w:r>
        <w:t xml:space="preserve">Описание функций</w:t>
      </w:r>
      <w:r>
        <w:t xml:space="preserve"> и бизнес-процессов </w:t>
      </w:r>
      <w:bookmarkEnd w:id="127"/>
      <w:r>
        <w:t xml:space="preserve">Модуля ведения ЛС НСИ ЭБ</w:t>
      </w:r>
      <w:bookmarkEnd w:id="128"/>
      <w:r/>
      <w:r/>
    </w:p>
    <w:p>
      <w:pPr>
        <w:pStyle w:val="1306"/>
      </w:pPr>
      <w:r/>
      <w:bookmarkStart w:id="129" w:name="_Ref497748475"/>
      <w:r/>
      <w:bookmarkStart w:id="130" w:name="_Ref497737939"/>
      <w:r/>
      <w:bookmarkStart w:id="131" w:name="_Toc497845611"/>
      <w:r/>
      <w:bookmarkStart w:id="132" w:name="_Toc478574642"/>
      <w:r/>
      <w:bookmarkStart w:id="133" w:name="_Toc489894256"/>
      <w:r>
        <w:rPr>
          <w:szCs w:val="28"/>
        </w:rPr>
        <w:t xml:space="preserve">Объектами автоматизации являются следующие процессы </w:t>
      </w:r>
      <w:r>
        <w:t xml:space="preserve">актуализации, ведения и распространения справочников, используемых в информационных системах ФК, в том числе в ГИИС «Электронного бюджета»:</w:t>
      </w:r>
      <w:r/>
    </w:p>
    <w:p>
      <w:pPr>
        <w:pStyle w:val="1296"/>
      </w:pPr>
      <w:r>
        <w:t xml:space="preserve">п</w:t>
      </w:r>
      <w:r>
        <w:t xml:space="preserve">росмотр справочников и классификаторов;</w:t>
      </w:r>
      <w:r/>
    </w:p>
    <w:p>
      <w:pPr>
        <w:pStyle w:val="1296"/>
      </w:pPr>
      <w:r>
        <w:t xml:space="preserve">п</w:t>
      </w:r>
      <w:r>
        <w:t xml:space="preserve">росмотр данных вспомогательных справочников;</w:t>
      </w:r>
      <w:r/>
    </w:p>
    <w:p>
      <w:pPr>
        <w:pStyle w:val="1296"/>
      </w:pPr>
      <w:r>
        <w:t xml:space="preserve">р</w:t>
      </w:r>
      <w:r>
        <w:t xml:space="preserve">едактирование данных вспомогательных справочников;</w:t>
      </w:r>
      <w:r/>
    </w:p>
    <w:p>
      <w:pPr>
        <w:pStyle w:val="1296"/>
      </w:pPr>
      <w:r>
        <w:t xml:space="preserve">п</w:t>
      </w:r>
      <w:r>
        <w:t xml:space="preserve">о справочникам с заявочным принципом формирования: создание и согласование заявок</w:t>
      </w:r>
      <w:r>
        <w:t xml:space="preserve">;</w:t>
      </w:r>
      <w:r/>
    </w:p>
    <w:p>
      <w:pPr>
        <w:pStyle w:val="1296"/>
      </w:pPr>
      <w:r>
        <w:t xml:space="preserve">р</w:t>
      </w:r>
      <w:r>
        <w:t xml:space="preserve">учная загрузка справочников;</w:t>
      </w:r>
      <w:r/>
    </w:p>
    <w:p>
      <w:pPr>
        <w:pStyle w:val="1296"/>
      </w:pPr>
      <w:r>
        <w:t xml:space="preserve">р</w:t>
      </w:r>
      <w:r>
        <w:t xml:space="preserve">учная выгрузка справочников;</w:t>
      </w:r>
      <w:r/>
    </w:p>
    <w:p>
      <w:pPr>
        <w:pStyle w:val="1296"/>
      </w:pPr>
      <w:r>
        <w:t xml:space="preserve">п</w:t>
      </w:r>
      <w:r>
        <w:t xml:space="preserve">роверка (контроль) данных справочников;</w:t>
      </w:r>
      <w:r/>
    </w:p>
    <w:p>
      <w:pPr>
        <w:pStyle w:val="1296"/>
      </w:pPr>
      <w:r>
        <w:rPr>
          <w:rFonts w:eastAsia="Calibri"/>
        </w:rPr>
        <w:t xml:space="preserve">м</w:t>
      </w:r>
      <w:r>
        <w:rPr>
          <w:rFonts w:eastAsia="Calibri"/>
        </w:rPr>
        <w:t xml:space="preserve">ониторинг загрузки справочников в подсистему НСИ ГИИС «Электронный бюджет»</w:t>
      </w:r>
      <w:r>
        <w:rPr>
          <w:rFonts w:eastAsia="Calibri"/>
        </w:rPr>
        <w:t xml:space="preserve">;</w:t>
      </w:r>
      <w:r/>
    </w:p>
    <w:p>
      <w:pPr>
        <w:pStyle w:val="1296"/>
      </w:pPr>
      <w:r>
        <w:rPr>
          <w:rFonts w:eastAsia="Calibri"/>
        </w:rPr>
        <w:t xml:space="preserve">м</w:t>
      </w:r>
      <w:r>
        <w:rPr>
          <w:rFonts w:eastAsia="Calibri"/>
        </w:rPr>
        <w:t xml:space="preserve">ониторинг запросов и ответов</w:t>
      </w:r>
      <w:r>
        <w:rPr>
          <w:rFonts w:eastAsia="Calibri"/>
        </w:rPr>
        <w:t xml:space="preserve">, сформированных пользователями</w:t>
      </w:r>
      <w:r>
        <w:rPr>
          <w:rFonts w:eastAsia="Calibri"/>
        </w:rPr>
        <w:t xml:space="preserve"> по актуализации данных в справочнике </w:t>
      </w:r>
      <w:r>
        <w:rPr>
          <w:rFonts w:eastAsia="Calibri"/>
        </w:rPr>
        <w:t xml:space="preserve">ЕГРИП</w:t>
      </w:r>
      <w:r>
        <w:rPr>
          <w:rFonts w:eastAsia="Calibri"/>
        </w:rPr>
        <w:t xml:space="preserve">.</w:t>
      </w:r>
      <w:r/>
    </w:p>
    <w:p>
      <w:pPr>
        <w:pStyle w:val="1305"/>
      </w:pPr>
      <w:r>
        <w:t xml:space="preserve">Детализация функциональных областей представлена в </w:t>
      </w:r>
      <w:r>
        <w:t xml:space="preserve">т</w:t>
      </w:r>
      <w:r>
        <w:t xml:space="preserve">аблиц</w:t>
      </w:r>
      <w:r>
        <w:t xml:space="preserve">е </w:t>
      </w:r>
      <w:r>
        <w:fldChar w:fldCharType="begin"/>
      </w:r>
      <w:r>
        <w:instrText xml:space="preserve"> REF _Ref530301105 \h  \* MERGEFORMAT </w:instrText>
      </w:r>
      <w:r>
        <w:fldChar w:fldCharType="separate"/>
      </w:r>
      <w:r>
        <w:t xml:space="preserve">3</w:t>
      </w:r>
      <w:r>
        <w:fldChar w:fldCharType="end"/>
      </w:r>
      <w:r>
        <w:t xml:space="preserve">.</w:t>
      </w:r>
      <w:r/>
    </w:p>
    <w:p>
      <w:pPr>
        <w:pStyle w:val="1305"/>
      </w:pPr>
      <w:r>
        <w:t xml:space="preserve">Описание операций, отвечающих за выполнение вышеуказанных функций</w:t>
      </w:r>
      <w:r>
        <w:t xml:space="preserve">,</w:t>
      </w:r>
      <w:r>
        <w:t xml:space="preserve"> приведено в разделе</w:t>
      </w:r>
      <w:r>
        <w:t xml:space="preserve"> </w:t>
      </w:r>
      <w:r>
        <w:fldChar w:fldCharType="begin"/>
      </w:r>
      <w:r>
        <w:instrText xml:space="preserve"> REF _Ref530301153 \r \h </w:instrText>
      </w:r>
      <w:r>
        <w:instrText xml:space="preserve"> \* MERGEFORMAT </w:instrText>
      </w:r>
      <w:r>
        <w:fldChar w:fldCharType="separate"/>
      </w:r>
      <w:r>
        <w:t xml:space="preserve">4</w:t>
      </w:r>
      <w:r>
        <w:fldChar w:fldCharType="end"/>
      </w:r>
      <w:r>
        <w:t xml:space="preserve">.</w:t>
      </w:r>
      <w:r/>
    </w:p>
    <w:p>
      <w:pPr>
        <w:pStyle w:val="1304"/>
      </w:pPr>
      <w:r/>
      <w:bookmarkStart w:id="134" w:name="_Ref497918107"/>
      <w:r/>
      <w:bookmarkStart w:id="135" w:name="_Toc523333725"/>
      <w:r/>
      <w:bookmarkStart w:id="136" w:name="_Toc523335097"/>
      <w:r/>
      <w:bookmarkStart w:id="137" w:name="_Ref530301082"/>
      <w:r>
        <w:fldChar w:fldCharType="begin"/>
      </w:r>
      <w:r>
        <w:instrText xml:space="preserve"> SEQ Таблица \* ARABIC </w:instrText>
      </w:r>
      <w:r>
        <w:fldChar w:fldCharType="separate"/>
      </w:r>
      <w:bookmarkStart w:id="138" w:name="_Ref530301105"/>
      <w:r/>
      <w:bookmarkStart w:id="139" w:name="_Toc221869944"/>
      <w:r>
        <w:t xml:space="preserve">3</w:t>
      </w:r>
      <w:bookmarkEnd w:id="138"/>
      <w:r>
        <w:fldChar w:fldCharType="end"/>
      </w:r>
      <w:bookmarkEnd w:id="129"/>
      <w:r/>
      <w:bookmarkEnd w:id="134"/>
      <w:r>
        <w:t xml:space="preserve">.</w:t>
      </w:r>
      <w:r>
        <w:t xml:space="preserve"> Функции Модуля </w:t>
      </w:r>
      <w:r>
        <w:t xml:space="preserve">ведения ЛС НСИ ЭБ</w:t>
      </w:r>
      <w:r>
        <w:t xml:space="preserve"> в разрезе структурных модулей</w:t>
      </w:r>
      <w:bookmarkEnd w:id="130"/>
      <w:r/>
      <w:bookmarkEnd w:id="131"/>
      <w:r/>
      <w:bookmarkEnd w:id="135"/>
      <w:r/>
      <w:bookmarkEnd w:id="136"/>
      <w:r/>
      <w:bookmarkEnd w:id="137"/>
      <w:r/>
      <w:bookmarkEnd w:id="139"/>
      <w:r/>
      <w:r/>
    </w:p>
    <w:tbl>
      <w:tblPr>
        <w:tblStyle w:val="1315"/>
        <w:tblW w:w="5000" w:type="pct"/>
        <w:tblLayout w:type="fixed"/>
        <w:tblLook w:val="01E0" w:firstRow="1" w:lastRow="1" w:firstColumn="1" w:lastColumn="1" w:noHBand="0" w:noVBand="0"/>
      </w:tblPr>
      <w:tblGrid>
        <w:gridCol w:w="1158"/>
        <w:gridCol w:w="1724"/>
        <w:gridCol w:w="1667"/>
        <w:gridCol w:w="2567"/>
        <w:gridCol w:w="1417"/>
        <w:gridCol w:w="1161"/>
      </w:tblGrid>
      <w:tr>
        <w:tblPrEx/>
        <w:trPr/>
        <w:tc>
          <w:tcPr>
            <w:tcW w:w="597" w:type="pct"/>
            <w:textDirection w:val="lrTb"/>
            <w:noWrap w:val="false"/>
          </w:tcPr>
          <w:p>
            <w:pPr>
              <w:pStyle w:val="1317"/>
            </w:pPr>
            <w:r>
              <w:t xml:space="preserve">Наименование ИТ-сервиса</w:t>
            </w:r>
            <w:r/>
          </w:p>
        </w:tc>
        <w:tc>
          <w:tcPr>
            <w:tcW w:w="889" w:type="pct"/>
            <w:textDirection w:val="lrTb"/>
            <w:noWrap w:val="false"/>
          </w:tcPr>
          <w:p>
            <w:pPr>
              <w:pStyle w:val="1317"/>
            </w:pPr>
            <w:r>
              <w:t xml:space="preserve">Наименование функциональной области (до создания модуля)</w:t>
            </w:r>
            <w:r/>
          </w:p>
        </w:tc>
        <w:tc>
          <w:tcPr>
            <w:tcW w:w="860" w:type="pct"/>
            <w:textDirection w:val="lrTb"/>
            <w:noWrap w:val="false"/>
          </w:tcPr>
          <w:p>
            <w:pPr>
              <w:pStyle w:val="1317"/>
            </w:pPr>
            <w:r>
              <w:t xml:space="preserve">Наименование функциональной области (после создания модуля)</w:t>
            </w:r>
            <w:r/>
          </w:p>
        </w:tc>
        <w:tc>
          <w:tcPr>
            <w:tcW w:w="1324" w:type="pct"/>
            <w:textDirection w:val="lrTb"/>
            <w:noWrap w:val="false"/>
          </w:tcPr>
          <w:p>
            <w:pPr>
              <w:pStyle w:val="1317"/>
            </w:pPr>
            <w:r>
              <w:t xml:space="preserve">Наименование функции (до создания модуля)</w:t>
            </w:r>
            <w:r/>
          </w:p>
        </w:tc>
        <w:tc>
          <w:tcPr>
            <w:tcW w:w="731" w:type="pct"/>
            <w:textDirection w:val="lrTb"/>
            <w:noWrap w:val="false"/>
          </w:tcPr>
          <w:p>
            <w:pPr>
              <w:pStyle w:val="1317"/>
            </w:pPr>
            <w:r>
              <w:t xml:space="preserve">Наименование функции (после создания модуля)</w:t>
            </w:r>
            <w:r/>
          </w:p>
        </w:tc>
        <w:tc>
          <w:tcPr>
            <w:tcW w:w="599" w:type="pct"/>
            <w:textDirection w:val="lrTb"/>
            <w:noWrap w:val="false"/>
          </w:tcPr>
          <w:p>
            <w:pPr>
              <w:pStyle w:val="1317"/>
            </w:pPr>
            <w:r>
              <w:t xml:space="preserve">Вносимое изменение</w:t>
            </w:r>
            <w:r/>
          </w:p>
        </w:tc>
      </w:tr>
      <w:tr>
        <w:tblPrEx/>
        <w:trPr/>
        <w:tc>
          <w:tcPr>
            <w:tcW w:w="597" w:type="pct"/>
            <w:vMerge w:val="restart"/>
            <w:textDirection w:val="lrTb"/>
            <w:noWrap w:val="false"/>
          </w:tcPr>
          <w:p>
            <w:pPr>
              <w:pStyle w:val="1316"/>
            </w:pPr>
            <w:r>
              <w:t xml:space="preserve">Подсистема НСИ ЭБ</w:t>
            </w:r>
            <w:r/>
          </w:p>
        </w:tc>
        <w:tc>
          <w:tcPr>
            <w:tcW w:w="889" w:type="pct"/>
            <w:vMerge w:val="restart"/>
            <w:textDirection w:val="lrTb"/>
            <w:noWrap w:val="false"/>
          </w:tcPr>
          <w:p>
            <w:pPr>
              <w:pStyle w:val="1316"/>
            </w:pPr>
            <w:r>
              <w:t xml:space="preserve">Ведение справочников НСИ в части справочника «Книга регистрации лицевых счетов»</w:t>
            </w:r>
            <w:r/>
          </w:p>
        </w:tc>
        <w:tc>
          <w:tcPr>
            <w:tcW w:w="860" w:type="pct"/>
            <w:vMerge w:val="restart"/>
            <w:textDirection w:val="lrTb"/>
            <w:noWrap w:val="false"/>
          </w:tcPr>
          <w:p>
            <w:pPr>
              <w:pStyle w:val="1316"/>
            </w:pPr>
            <w:r>
              <w:t xml:space="preserve">Ведение лицевых счетов</w:t>
            </w:r>
            <w:r/>
          </w:p>
        </w:tc>
        <w:tc>
          <w:tcPr>
            <w:tcW w:w="1324" w:type="pct"/>
            <w:textDirection w:val="lrTb"/>
            <w:noWrap w:val="false"/>
          </w:tcPr>
          <w:p>
            <w:pPr>
              <w:pStyle w:val="1316"/>
            </w:pPr>
            <w:r>
              <w:t xml:space="preserve">Ввод заявки на создание, переоформление, изменение или закрытие ЛС</w:t>
            </w:r>
            <w:r/>
          </w:p>
        </w:tc>
        <w:tc>
          <w:tcPr>
            <w:tcW w:w="731" w:type="pct"/>
            <w:vMerge w:val="restart"/>
            <w:textDirection w:val="lrTb"/>
            <w:noWrap w:val="false"/>
          </w:tcPr>
          <w:p>
            <w:pPr>
              <w:pStyle w:val="1316"/>
            </w:pPr>
            <w:r>
              <w:t xml:space="preserve">Ведение НСИ в части лицевых счетов</w:t>
            </w:r>
            <w:r/>
          </w:p>
        </w:tc>
        <w:tc>
          <w:tcPr>
            <w:tcW w:w="599" w:type="pct"/>
            <w:vMerge w:val="restart"/>
            <w:textDirection w:val="lrTb"/>
            <w:noWrap w:val="false"/>
          </w:tcPr>
          <w:p>
            <w:pPr>
              <w:pStyle w:val="1316"/>
            </w:pPr>
            <w:r>
              <w:t xml:space="preserve">Уточнение наименования функционально</w:t>
            </w:r>
            <w:r>
              <w:t xml:space="preserve">й области и объединение функций</w:t>
            </w:r>
            <w:r/>
          </w:p>
        </w:tc>
      </w:tr>
      <w:tr>
        <w:tblPrEx/>
        <w:trPr/>
        <w:tc>
          <w:tcPr>
            <w:tcW w:w="597" w:type="pct"/>
            <w:vMerge w:val="continue"/>
            <w:textDirection w:val="lrTb"/>
            <w:noWrap w:val="false"/>
          </w:tcPr>
          <w:p>
            <w:pPr>
              <w:pStyle w:val="1316"/>
            </w:pPr>
            <w:r/>
            <w:r/>
          </w:p>
        </w:tc>
        <w:tc>
          <w:tcPr>
            <w:tcW w:w="889" w:type="pct"/>
            <w:vMerge w:val="continue"/>
            <w:textDirection w:val="lrTb"/>
            <w:noWrap w:val="false"/>
          </w:tcPr>
          <w:p>
            <w:pPr>
              <w:pStyle w:val="1316"/>
            </w:pPr>
            <w:r/>
            <w:r/>
          </w:p>
        </w:tc>
        <w:tc>
          <w:tcPr>
            <w:tcW w:w="860" w:type="pct"/>
            <w:vMerge w:val="continue"/>
            <w:textDirection w:val="lrTb"/>
            <w:noWrap w:val="false"/>
          </w:tcPr>
          <w:p>
            <w:pPr>
              <w:pStyle w:val="1316"/>
            </w:pPr>
            <w:r/>
            <w:r/>
          </w:p>
        </w:tc>
        <w:tc>
          <w:tcPr>
            <w:tcW w:w="1324" w:type="pct"/>
            <w:textDirection w:val="lrTb"/>
            <w:noWrap w:val="false"/>
          </w:tcPr>
          <w:p>
            <w:pPr>
              <w:pStyle w:val="1316"/>
            </w:pPr>
            <w:r>
              <w:t xml:space="preserve">Подписание заявки ЛС</w:t>
            </w:r>
            <w:r/>
          </w:p>
        </w:tc>
        <w:tc>
          <w:tcPr>
            <w:tcW w:w="731" w:type="pct"/>
            <w:vMerge w:val="continue"/>
            <w:textDirection w:val="lrTb"/>
            <w:noWrap w:val="false"/>
          </w:tcPr>
          <w:p>
            <w:pPr>
              <w:pStyle w:val="1316"/>
            </w:pPr>
            <w:r/>
            <w:r/>
          </w:p>
        </w:tc>
        <w:tc>
          <w:tcPr>
            <w:tcW w:w="599" w:type="pct"/>
            <w:vMerge w:val="continue"/>
            <w:textDirection w:val="lrTb"/>
            <w:noWrap w:val="false"/>
          </w:tcPr>
          <w:p>
            <w:pPr>
              <w:pStyle w:val="1316"/>
            </w:pPr>
            <w:r/>
            <w:r/>
          </w:p>
        </w:tc>
      </w:tr>
      <w:tr>
        <w:tblPrEx/>
        <w:trPr/>
        <w:tc>
          <w:tcPr>
            <w:tcW w:w="597" w:type="pct"/>
            <w:vMerge w:val="continue"/>
            <w:textDirection w:val="lrTb"/>
            <w:noWrap w:val="false"/>
          </w:tcPr>
          <w:p>
            <w:pPr>
              <w:pStyle w:val="1316"/>
            </w:pPr>
            <w:r/>
            <w:r/>
          </w:p>
        </w:tc>
        <w:tc>
          <w:tcPr>
            <w:tcW w:w="889" w:type="pct"/>
            <w:vMerge w:val="continue"/>
            <w:textDirection w:val="lrTb"/>
            <w:noWrap w:val="false"/>
          </w:tcPr>
          <w:p>
            <w:pPr>
              <w:pStyle w:val="1316"/>
            </w:pPr>
            <w:r/>
            <w:r/>
          </w:p>
        </w:tc>
        <w:tc>
          <w:tcPr>
            <w:tcW w:w="860" w:type="pct"/>
            <w:vMerge w:val="continue"/>
            <w:textDirection w:val="lrTb"/>
            <w:noWrap w:val="false"/>
          </w:tcPr>
          <w:p>
            <w:pPr>
              <w:pStyle w:val="1316"/>
            </w:pPr>
            <w:r/>
            <w:r/>
          </w:p>
        </w:tc>
        <w:tc>
          <w:tcPr>
            <w:tcW w:w="1324" w:type="pct"/>
            <w:textDirection w:val="lrTb"/>
            <w:noWrap w:val="false"/>
          </w:tcPr>
          <w:p>
            <w:pPr>
              <w:pStyle w:val="1316"/>
            </w:pPr>
            <w:r>
              <w:t xml:space="preserve">Согласование заявки ЛС</w:t>
            </w:r>
            <w:r/>
          </w:p>
        </w:tc>
        <w:tc>
          <w:tcPr>
            <w:tcW w:w="731" w:type="pct"/>
            <w:vMerge w:val="continue"/>
            <w:textDirection w:val="lrTb"/>
            <w:noWrap w:val="false"/>
          </w:tcPr>
          <w:p>
            <w:pPr>
              <w:pStyle w:val="1316"/>
            </w:pPr>
            <w:r/>
            <w:r/>
          </w:p>
        </w:tc>
        <w:tc>
          <w:tcPr>
            <w:tcW w:w="599" w:type="pct"/>
            <w:vMerge w:val="continue"/>
            <w:textDirection w:val="lrTb"/>
            <w:noWrap w:val="false"/>
          </w:tcPr>
          <w:p>
            <w:pPr>
              <w:pStyle w:val="1316"/>
            </w:pPr>
            <w:r/>
            <w:r/>
          </w:p>
        </w:tc>
      </w:tr>
      <w:tr>
        <w:tblPrEx/>
        <w:trPr/>
        <w:tc>
          <w:tcPr>
            <w:tcW w:w="597" w:type="pct"/>
            <w:vMerge w:val="continue"/>
            <w:textDirection w:val="lrTb"/>
            <w:noWrap w:val="false"/>
          </w:tcPr>
          <w:p>
            <w:pPr>
              <w:pStyle w:val="1316"/>
            </w:pPr>
            <w:r/>
            <w:r/>
          </w:p>
        </w:tc>
        <w:tc>
          <w:tcPr>
            <w:tcW w:w="889" w:type="pct"/>
            <w:vMerge w:val="continue"/>
            <w:textDirection w:val="lrTb"/>
            <w:noWrap w:val="false"/>
          </w:tcPr>
          <w:p>
            <w:pPr>
              <w:pStyle w:val="1316"/>
            </w:pPr>
            <w:r/>
            <w:r/>
          </w:p>
        </w:tc>
        <w:tc>
          <w:tcPr>
            <w:tcW w:w="860" w:type="pct"/>
            <w:vMerge w:val="continue"/>
            <w:textDirection w:val="lrTb"/>
            <w:noWrap w:val="false"/>
          </w:tcPr>
          <w:p>
            <w:pPr>
              <w:pStyle w:val="1316"/>
            </w:pPr>
            <w:r/>
            <w:r/>
          </w:p>
        </w:tc>
        <w:tc>
          <w:tcPr>
            <w:tcW w:w="1324" w:type="pct"/>
            <w:textDirection w:val="lrTb"/>
            <w:noWrap w:val="false"/>
          </w:tcPr>
          <w:p>
            <w:pPr>
              <w:pStyle w:val="1316"/>
            </w:pPr>
            <w:r>
              <w:t xml:space="preserve">Утверждение заявки ЛС</w:t>
            </w:r>
            <w:r/>
          </w:p>
        </w:tc>
        <w:tc>
          <w:tcPr>
            <w:tcW w:w="731" w:type="pct"/>
            <w:vMerge w:val="continue"/>
            <w:textDirection w:val="lrTb"/>
            <w:noWrap w:val="false"/>
          </w:tcPr>
          <w:p>
            <w:pPr>
              <w:pStyle w:val="1316"/>
            </w:pPr>
            <w:r/>
            <w:r/>
          </w:p>
        </w:tc>
        <w:tc>
          <w:tcPr>
            <w:tcW w:w="599" w:type="pct"/>
            <w:vMerge w:val="continue"/>
            <w:textDirection w:val="lrTb"/>
            <w:noWrap w:val="false"/>
          </w:tcPr>
          <w:p>
            <w:pPr>
              <w:pStyle w:val="1316"/>
            </w:pPr>
            <w:r/>
            <w:r/>
          </w:p>
        </w:tc>
      </w:tr>
      <w:tr>
        <w:tblPrEx/>
        <w:trPr/>
        <w:tc>
          <w:tcPr>
            <w:tcW w:w="597" w:type="pct"/>
            <w:vMerge w:val="continue"/>
            <w:textDirection w:val="lrTb"/>
            <w:noWrap w:val="false"/>
          </w:tcPr>
          <w:p>
            <w:pPr>
              <w:pStyle w:val="1316"/>
            </w:pPr>
            <w:r/>
            <w:r/>
          </w:p>
        </w:tc>
        <w:tc>
          <w:tcPr>
            <w:tcW w:w="889" w:type="pct"/>
            <w:vMerge w:val="continue"/>
            <w:textDirection w:val="lrTb"/>
            <w:noWrap w:val="false"/>
          </w:tcPr>
          <w:p>
            <w:pPr>
              <w:pStyle w:val="1316"/>
            </w:pPr>
            <w:r/>
            <w:r/>
          </w:p>
        </w:tc>
        <w:tc>
          <w:tcPr>
            <w:tcW w:w="860" w:type="pct"/>
            <w:vMerge w:val="continue"/>
            <w:textDirection w:val="lrTb"/>
            <w:noWrap w:val="false"/>
          </w:tcPr>
          <w:p>
            <w:pPr>
              <w:pStyle w:val="1316"/>
            </w:pPr>
            <w:r/>
            <w:r/>
          </w:p>
        </w:tc>
        <w:tc>
          <w:tcPr>
            <w:tcW w:w="1324" w:type="pct"/>
            <w:textDirection w:val="lrTb"/>
            <w:noWrap w:val="false"/>
          </w:tcPr>
          <w:p>
            <w:pPr>
              <w:pStyle w:val="1316"/>
            </w:pPr>
            <w:r>
              <w:t xml:space="preserve">Создание/изменение/закрытие реестровой записи в ЛС</w:t>
            </w:r>
            <w:r/>
          </w:p>
        </w:tc>
        <w:tc>
          <w:tcPr>
            <w:tcW w:w="731" w:type="pct"/>
            <w:vMerge w:val="continue"/>
            <w:textDirection w:val="lrTb"/>
            <w:noWrap w:val="false"/>
          </w:tcPr>
          <w:p>
            <w:pPr>
              <w:pStyle w:val="1316"/>
            </w:pPr>
            <w:r/>
            <w:r/>
          </w:p>
        </w:tc>
        <w:tc>
          <w:tcPr>
            <w:tcW w:w="599" w:type="pct"/>
            <w:vMerge w:val="continue"/>
            <w:textDirection w:val="lrTb"/>
            <w:noWrap w:val="false"/>
          </w:tcPr>
          <w:p>
            <w:pPr>
              <w:pStyle w:val="1316"/>
            </w:pPr>
            <w:r/>
            <w:r/>
          </w:p>
        </w:tc>
      </w:tr>
      <w:tr>
        <w:tblPrEx/>
        <w:trPr/>
        <w:tc>
          <w:tcPr>
            <w:tcW w:w="597" w:type="pct"/>
            <w:vMerge w:val="continue"/>
            <w:textDirection w:val="lrTb"/>
            <w:noWrap w:val="false"/>
          </w:tcPr>
          <w:p>
            <w:pPr>
              <w:pStyle w:val="1316"/>
            </w:pPr>
            <w:r/>
            <w:r/>
          </w:p>
        </w:tc>
        <w:tc>
          <w:tcPr>
            <w:tcW w:w="889" w:type="pct"/>
            <w:vMerge w:val="continue"/>
            <w:textDirection w:val="lrTb"/>
            <w:noWrap w:val="false"/>
          </w:tcPr>
          <w:p>
            <w:pPr>
              <w:pStyle w:val="1316"/>
            </w:pPr>
            <w:r/>
            <w:r/>
          </w:p>
        </w:tc>
        <w:tc>
          <w:tcPr>
            <w:tcW w:w="860" w:type="pct"/>
            <w:vMerge w:val="continue"/>
            <w:textDirection w:val="lrTb"/>
            <w:noWrap w:val="false"/>
          </w:tcPr>
          <w:p>
            <w:pPr>
              <w:pStyle w:val="1316"/>
            </w:pPr>
            <w:r/>
            <w:r/>
          </w:p>
        </w:tc>
        <w:tc>
          <w:tcPr>
            <w:tcW w:w="1324" w:type="pct"/>
            <w:textDirection w:val="lrTb"/>
            <w:noWrap w:val="false"/>
          </w:tcPr>
          <w:p>
            <w:pPr>
              <w:pStyle w:val="1316"/>
            </w:pPr>
            <w:r>
              <w:t xml:space="preserve">Формирование технических заявок СвР</w:t>
            </w:r>
            <w:r/>
          </w:p>
        </w:tc>
        <w:tc>
          <w:tcPr>
            <w:tcW w:w="731" w:type="pct"/>
            <w:vMerge w:val="continue"/>
            <w:textDirection w:val="lrTb"/>
            <w:noWrap w:val="false"/>
          </w:tcPr>
          <w:p>
            <w:pPr>
              <w:pStyle w:val="1316"/>
            </w:pPr>
            <w:r/>
            <w:r/>
          </w:p>
        </w:tc>
        <w:tc>
          <w:tcPr>
            <w:tcW w:w="599" w:type="pct"/>
            <w:vMerge w:val="continue"/>
            <w:textDirection w:val="lrTb"/>
            <w:noWrap w:val="false"/>
          </w:tcPr>
          <w:p>
            <w:pPr>
              <w:pStyle w:val="1316"/>
            </w:pPr>
            <w:r/>
            <w:r/>
          </w:p>
        </w:tc>
      </w:tr>
      <w:tr>
        <w:tblPrEx/>
        <w:trPr/>
        <w:tc>
          <w:tcPr>
            <w:tcW w:w="597" w:type="pct"/>
            <w:vMerge w:val="continue"/>
            <w:textDirection w:val="lrTb"/>
            <w:noWrap w:val="false"/>
          </w:tcPr>
          <w:p>
            <w:pPr>
              <w:pStyle w:val="1316"/>
            </w:pPr>
            <w:r/>
            <w:r/>
          </w:p>
        </w:tc>
        <w:tc>
          <w:tcPr>
            <w:tcW w:w="889" w:type="pct"/>
            <w:vMerge w:val="continue"/>
            <w:textDirection w:val="lrTb"/>
            <w:noWrap w:val="false"/>
          </w:tcPr>
          <w:p>
            <w:pPr>
              <w:pStyle w:val="1316"/>
            </w:pPr>
            <w:r/>
            <w:r/>
          </w:p>
        </w:tc>
        <w:tc>
          <w:tcPr>
            <w:tcW w:w="860" w:type="pct"/>
            <w:vMerge w:val="continue"/>
            <w:textDirection w:val="lrTb"/>
            <w:noWrap w:val="false"/>
          </w:tcPr>
          <w:p>
            <w:pPr>
              <w:pStyle w:val="1316"/>
            </w:pPr>
            <w:r/>
            <w:r/>
          </w:p>
        </w:tc>
        <w:tc>
          <w:tcPr>
            <w:tcW w:w="1324" w:type="pct"/>
            <w:textDirection w:val="lrTb"/>
            <w:noWrap w:val="false"/>
          </w:tcPr>
          <w:p>
            <w:pPr>
              <w:pStyle w:val="1316"/>
            </w:pPr>
            <w:r>
              <w:t xml:space="preserve">Формирование решения по СвР</w:t>
            </w:r>
            <w:r/>
          </w:p>
        </w:tc>
        <w:tc>
          <w:tcPr>
            <w:tcW w:w="731" w:type="pct"/>
            <w:vMerge w:val="continue"/>
            <w:textDirection w:val="lrTb"/>
            <w:noWrap w:val="false"/>
          </w:tcPr>
          <w:p>
            <w:pPr>
              <w:pStyle w:val="1316"/>
            </w:pPr>
            <w:r/>
            <w:r/>
          </w:p>
        </w:tc>
        <w:tc>
          <w:tcPr>
            <w:tcW w:w="599" w:type="pct"/>
            <w:vMerge w:val="continue"/>
            <w:textDirection w:val="lrTb"/>
            <w:noWrap w:val="false"/>
          </w:tcPr>
          <w:p>
            <w:pPr>
              <w:pStyle w:val="1316"/>
            </w:pPr>
            <w:r/>
            <w:r/>
          </w:p>
        </w:tc>
      </w:tr>
      <w:tr>
        <w:tblPrEx/>
        <w:trPr/>
        <w:tc>
          <w:tcPr>
            <w:tcW w:w="597" w:type="pct"/>
            <w:vMerge w:val="continue"/>
            <w:textDirection w:val="lrTb"/>
            <w:noWrap w:val="false"/>
          </w:tcPr>
          <w:p>
            <w:pPr>
              <w:pStyle w:val="1316"/>
            </w:pPr>
            <w:r/>
            <w:r/>
          </w:p>
        </w:tc>
        <w:tc>
          <w:tcPr>
            <w:tcW w:w="889" w:type="pct"/>
            <w:vMerge w:val="continue"/>
            <w:textDirection w:val="lrTb"/>
            <w:noWrap w:val="false"/>
          </w:tcPr>
          <w:p>
            <w:pPr>
              <w:pStyle w:val="1316"/>
            </w:pPr>
            <w:r/>
            <w:r/>
          </w:p>
        </w:tc>
        <w:tc>
          <w:tcPr>
            <w:tcW w:w="860" w:type="pct"/>
            <w:vMerge w:val="continue"/>
            <w:textDirection w:val="lrTb"/>
            <w:noWrap w:val="false"/>
          </w:tcPr>
          <w:p>
            <w:pPr>
              <w:pStyle w:val="1316"/>
            </w:pPr>
            <w:r/>
            <w:r/>
          </w:p>
        </w:tc>
        <w:tc>
          <w:tcPr>
            <w:tcW w:w="1324" w:type="pct"/>
            <w:textDirection w:val="lrTb"/>
            <w:noWrap w:val="false"/>
          </w:tcPr>
          <w:p>
            <w:pPr>
              <w:pStyle w:val="1316"/>
            </w:pPr>
            <w:r>
              <w:t xml:space="preserve">Формирование технических заявок Реестра ИП и КФХ</w:t>
            </w:r>
            <w:r/>
          </w:p>
        </w:tc>
        <w:tc>
          <w:tcPr>
            <w:tcW w:w="731" w:type="pct"/>
            <w:vMerge w:val="continue"/>
            <w:textDirection w:val="lrTb"/>
            <w:noWrap w:val="false"/>
          </w:tcPr>
          <w:p>
            <w:pPr>
              <w:pStyle w:val="1316"/>
            </w:pPr>
            <w:r/>
            <w:r/>
          </w:p>
        </w:tc>
        <w:tc>
          <w:tcPr>
            <w:tcW w:w="599" w:type="pct"/>
            <w:vMerge w:val="continue"/>
            <w:textDirection w:val="lrTb"/>
            <w:noWrap w:val="false"/>
          </w:tcPr>
          <w:p>
            <w:pPr>
              <w:pStyle w:val="1316"/>
            </w:pPr>
            <w:r/>
            <w:r/>
          </w:p>
        </w:tc>
      </w:tr>
      <w:tr>
        <w:tblPrEx/>
        <w:trPr/>
        <w:tc>
          <w:tcPr>
            <w:tcW w:w="597" w:type="pct"/>
            <w:vMerge w:val="continue"/>
            <w:textDirection w:val="lrTb"/>
            <w:noWrap w:val="false"/>
          </w:tcPr>
          <w:p>
            <w:pPr>
              <w:pStyle w:val="1316"/>
            </w:pPr>
            <w:r/>
            <w:r/>
          </w:p>
        </w:tc>
        <w:tc>
          <w:tcPr>
            <w:tcW w:w="889" w:type="pct"/>
            <w:vMerge w:val="continue"/>
            <w:textDirection w:val="lrTb"/>
            <w:noWrap w:val="false"/>
          </w:tcPr>
          <w:p>
            <w:pPr>
              <w:pStyle w:val="1316"/>
            </w:pPr>
            <w:r/>
            <w:r/>
          </w:p>
        </w:tc>
        <w:tc>
          <w:tcPr>
            <w:tcW w:w="860" w:type="pct"/>
            <w:vMerge w:val="continue"/>
            <w:textDirection w:val="lrTb"/>
            <w:noWrap w:val="false"/>
          </w:tcPr>
          <w:p>
            <w:pPr>
              <w:pStyle w:val="1316"/>
            </w:pPr>
            <w:r/>
            <w:r/>
          </w:p>
        </w:tc>
        <w:tc>
          <w:tcPr>
            <w:tcW w:w="1324" w:type="pct"/>
            <w:textDirection w:val="lrTb"/>
            <w:noWrap w:val="false"/>
          </w:tcPr>
          <w:p>
            <w:pPr>
              <w:pStyle w:val="1316"/>
            </w:pPr>
            <w:r>
              <w:t xml:space="preserve">Формирование протокола отказа по ЛС</w:t>
            </w:r>
            <w:r/>
          </w:p>
        </w:tc>
        <w:tc>
          <w:tcPr>
            <w:tcW w:w="731" w:type="pct"/>
            <w:vMerge w:val="continue"/>
            <w:textDirection w:val="lrTb"/>
            <w:noWrap w:val="false"/>
          </w:tcPr>
          <w:p>
            <w:pPr>
              <w:pStyle w:val="1316"/>
            </w:pPr>
            <w:r/>
            <w:r/>
          </w:p>
        </w:tc>
        <w:tc>
          <w:tcPr>
            <w:tcW w:w="599" w:type="pct"/>
            <w:vMerge w:val="continue"/>
            <w:textDirection w:val="lrTb"/>
            <w:noWrap w:val="false"/>
          </w:tcPr>
          <w:p>
            <w:pPr>
              <w:pStyle w:val="1316"/>
            </w:pPr>
            <w:r/>
            <w:r/>
          </w:p>
        </w:tc>
      </w:tr>
      <w:tr>
        <w:tblPrEx/>
        <w:trPr/>
        <w:tc>
          <w:tcPr>
            <w:tcW w:w="597" w:type="pct"/>
            <w:vMerge w:val="continue"/>
            <w:textDirection w:val="lrTb"/>
            <w:noWrap w:val="false"/>
          </w:tcPr>
          <w:p>
            <w:pPr>
              <w:pStyle w:val="1316"/>
            </w:pPr>
            <w:r/>
            <w:r/>
          </w:p>
        </w:tc>
        <w:tc>
          <w:tcPr>
            <w:tcW w:w="889" w:type="pct"/>
            <w:vMerge w:val="continue"/>
            <w:textDirection w:val="lrTb"/>
            <w:noWrap w:val="false"/>
          </w:tcPr>
          <w:p>
            <w:pPr>
              <w:pStyle w:val="1316"/>
            </w:pPr>
            <w:r/>
            <w:r/>
          </w:p>
        </w:tc>
        <w:tc>
          <w:tcPr>
            <w:tcW w:w="860" w:type="pct"/>
            <w:vMerge w:val="continue"/>
            <w:textDirection w:val="lrTb"/>
            <w:noWrap w:val="false"/>
          </w:tcPr>
          <w:p>
            <w:pPr>
              <w:pStyle w:val="1316"/>
            </w:pPr>
            <w:r/>
            <w:r/>
          </w:p>
        </w:tc>
        <w:tc>
          <w:tcPr>
            <w:tcW w:w="1324" w:type="pct"/>
            <w:textDirection w:val="lrTb"/>
            <w:noWrap w:val="false"/>
          </w:tcPr>
          <w:p>
            <w:pPr>
              <w:pStyle w:val="1316"/>
            </w:pPr>
            <w:r>
              <w:t xml:space="preserve">Подписание протокола отказа по ЛС</w:t>
            </w:r>
            <w:r/>
          </w:p>
        </w:tc>
        <w:tc>
          <w:tcPr>
            <w:tcW w:w="731" w:type="pct"/>
            <w:vMerge w:val="continue"/>
            <w:textDirection w:val="lrTb"/>
            <w:noWrap w:val="false"/>
          </w:tcPr>
          <w:p>
            <w:pPr>
              <w:pStyle w:val="1316"/>
            </w:pPr>
            <w:r/>
            <w:r/>
          </w:p>
        </w:tc>
        <w:tc>
          <w:tcPr>
            <w:tcW w:w="599" w:type="pct"/>
            <w:vMerge w:val="continue"/>
            <w:textDirection w:val="lrTb"/>
            <w:noWrap w:val="false"/>
          </w:tcPr>
          <w:p>
            <w:pPr>
              <w:pStyle w:val="1316"/>
            </w:pPr>
            <w:r/>
            <w:r/>
          </w:p>
        </w:tc>
      </w:tr>
      <w:tr>
        <w:tblPrEx/>
        <w:trPr/>
        <w:tc>
          <w:tcPr>
            <w:tcW w:w="597" w:type="pct"/>
            <w:vMerge w:val="continue"/>
            <w:textDirection w:val="lrTb"/>
            <w:noWrap w:val="false"/>
          </w:tcPr>
          <w:p>
            <w:pPr>
              <w:pStyle w:val="1316"/>
            </w:pPr>
            <w:r/>
            <w:r/>
          </w:p>
        </w:tc>
        <w:tc>
          <w:tcPr>
            <w:tcW w:w="889" w:type="pct"/>
            <w:vMerge w:val="continue"/>
            <w:textDirection w:val="lrTb"/>
            <w:noWrap w:val="false"/>
          </w:tcPr>
          <w:p>
            <w:pPr>
              <w:pStyle w:val="1316"/>
            </w:pPr>
            <w:r/>
            <w:r/>
          </w:p>
        </w:tc>
        <w:tc>
          <w:tcPr>
            <w:tcW w:w="860" w:type="pct"/>
            <w:vMerge w:val="continue"/>
            <w:textDirection w:val="lrTb"/>
            <w:noWrap w:val="false"/>
          </w:tcPr>
          <w:p>
            <w:pPr>
              <w:pStyle w:val="1316"/>
            </w:pPr>
            <w:r/>
            <w:r/>
          </w:p>
        </w:tc>
        <w:tc>
          <w:tcPr>
            <w:tcW w:w="1324" w:type="pct"/>
            <w:textDirection w:val="lrTb"/>
            <w:noWrap w:val="false"/>
          </w:tcPr>
          <w:p>
            <w:pPr>
              <w:pStyle w:val="1316"/>
            </w:pPr>
            <w:r>
              <w:t xml:space="preserve">Формирование извещения о создании/изменении/закрытии ЛС</w:t>
            </w:r>
            <w:r/>
          </w:p>
        </w:tc>
        <w:tc>
          <w:tcPr>
            <w:tcW w:w="731" w:type="pct"/>
            <w:vMerge w:val="continue"/>
            <w:textDirection w:val="lrTb"/>
            <w:noWrap w:val="false"/>
          </w:tcPr>
          <w:p>
            <w:pPr>
              <w:pStyle w:val="1316"/>
            </w:pPr>
            <w:r/>
            <w:r/>
          </w:p>
        </w:tc>
        <w:tc>
          <w:tcPr>
            <w:tcW w:w="599" w:type="pct"/>
            <w:vMerge w:val="continue"/>
            <w:textDirection w:val="lrTb"/>
            <w:noWrap w:val="false"/>
          </w:tcPr>
          <w:p>
            <w:pPr>
              <w:pStyle w:val="1316"/>
            </w:pPr>
            <w:r/>
            <w:r/>
          </w:p>
        </w:tc>
      </w:tr>
      <w:tr>
        <w:tblPrEx/>
        <w:trPr/>
        <w:tc>
          <w:tcPr>
            <w:tcW w:w="597" w:type="pct"/>
            <w:vMerge w:val="continue"/>
            <w:textDirection w:val="lrTb"/>
            <w:noWrap w:val="false"/>
          </w:tcPr>
          <w:p>
            <w:pPr>
              <w:pStyle w:val="1316"/>
            </w:pPr>
            <w:r/>
            <w:r/>
          </w:p>
        </w:tc>
        <w:tc>
          <w:tcPr>
            <w:tcW w:w="889" w:type="pct"/>
            <w:vMerge w:val="continue"/>
            <w:textDirection w:val="lrTb"/>
            <w:noWrap w:val="false"/>
          </w:tcPr>
          <w:p>
            <w:pPr>
              <w:pStyle w:val="1316"/>
            </w:pPr>
            <w:r/>
            <w:r/>
          </w:p>
        </w:tc>
        <w:tc>
          <w:tcPr>
            <w:tcW w:w="860" w:type="pct"/>
            <w:vMerge w:val="continue"/>
            <w:textDirection w:val="lrTb"/>
            <w:noWrap w:val="false"/>
          </w:tcPr>
          <w:p>
            <w:pPr>
              <w:pStyle w:val="1316"/>
            </w:pPr>
            <w:r/>
            <w:r/>
          </w:p>
        </w:tc>
        <w:tc>
          <w:tcPr>
            <w:tcW w:w="1324" w:type="pct"/>
            <w:textDirection w:val="lrTb"/>
            <w:noWrap w:val="false"/>
          </w:tcPr>
          <w:p>
            <w:pPr>
              <w:pStyle w:val="1316"/>
            </w:pPr>
            <w:r>
              <w:t xml:space="preserve">Подписание извещения о ЛС</w:t>
            </w:r>
            <w:r/>
          </w:p>
        </w:tc>
        <w:tc>
          <w:tcPr>
            <w:tcW w:w="731" w:type="pct"/>
            <w:vMerge w:val="continue"/>
            <w:textDirection w:val="lrTb"/>
            <w:noWrap w:val="false"/>
          </w:tcPr>
          <w:p>
            <w:pPr>
              <w:pStyle w:val="1316"/>
            </w:pPr>
            <w:r/>
            <w:r/>
          </w:p>
        </w:tc>
        <w:tc>
          <w:tcPr>
            <w:tcW w:w="599" w:type="pct"/>
            <w:vMerge w:val="continue"/>
            <w:textDirection w:val="lrTb"/>
            <w:noWrap w:val="false"/>
          </w:tcPr>
          <w:p>
            <w:pPr>
              <w:pStyle w:val="1316"/>
            </w:pPr>
            <w:r/>
            <w:r/>
          </w:p>
        </w:tc>
      </w:tr>
      <w:tr>
        <w:tblPrEx/>
        <w:trPr/>
        <w:tc>
          <w:tcPr>
            <w:tcW w:w="597" w:type="pct"/>
            <w:vMerge w:val="continue"/>
            <w:textDirection w:val="lrTb"/>
            <w:noWrap w:val="false"/>
          </w:tcPr>
          <w:p>
            <w:pPr>
              <w:pStyle w:val="1316"/>
            </w:pPr>
            <w:r/>
            <w:r/>
          </w:p>
        </w:tc>
        <w:tc>
          <w:tcPr>
            <w:tcW w:w="889" w:type="pct"/>
            <w:vMerge w:val="continue"/>
            <w:textDirection w:val="lrTb"/>
            <w:noWrap w:val="false"/>
          </w:tcPr>
          <w:p>
            <w:pPr>
              <w:pStyle w:val="1316"/>
            </w:pPr>
            <w:r/>
            <w:r/>
          </w:p>
        </w:tc>
        <w:tc>
          <w:tcPr>
            <w:tcW w:w="860" w:type="pct"/>
            <w:vMerge w:val="continue"/>
            <w:textDirection w:val="lrTb"/>
            <w:noWrap w:val="false"/>
          </w:tcPr>
          <w:p>
            <w:pPr>
              <w:pStyle w:val="1316"/>
            </w:pPr>
            <w:r/>
            <w:r/>
          </w:p>
        </w:tc>
        <w:tc>
          <w:tcPr>
            <w:tcW w:w="1324" w:type="pct"/>
            <w:textDirection w:val="lrTb"/>
            <w:noWrap w:val="false"/>
          </w:tcPr>
          <w:p>
            <w:pPr>
              <w:pStyle w:val="1316"/>
            </w:pPr>
            <w:r>
              <w:t xml:space="preserve">Отправка извещения о ЛС в УО</w:t>
            </w:r>
            <w:r/>
          </w:p>
        </w:tc>
        <w:tc>
          <w:tcPr>
            <w:tcW w:w="731" w:type="pct"/>
            <w:vMerge w:val="continue"/>
            <w:textDirection w:val="lrTb"/>
            <w:noWrap w:val="false"/>
          </w:tcPr>
          <w:p>
            <w:pPr>
              <w:pStyle w:val="1316"/>
            </w:pPr>
            <w:r/>
            <w:r/>
          </w:p>
        </w:tc>
        <w:tc>
          <w:tcPr>
            <w:tcW w:w="599" w:type="pct"/>
            <w:vMerge w:val="continue"/>
            <w:textDirection w:val="lrTb"/>
            <w:noWrap w:val="false"/>
          </w:tcPr>
          <w:p>
            <w:pPr>
              <w:pStyle w:val="1316"/>
            </w:pPr>
            <w:r/>
            <w:r/>
          </w:p>
        </w:tc>
      </w:tr>
      <w:tr>
        <w:tblPrEx/>
        <w:trPr/>
        <w:tc>
          <w:tcPr>
            <w:tcW w:w="597" w:type="pct"/>
            <w:vMerge w:val="continue"/>
            <w:textDirection w:val="lrTb"/>
            <w:noWrap w:val="false"/>
          </w:tcPr>
          <w:p>
            <w:pPr>
              <w:pStyle w:val="1316"/>
            </w:pPr>
            <w:r/>
            <w:r/>
          </w:p>
        </w:tc>
        <w:tc>
          <w:tcPr>
            <w:tcW w:w="889" w:type="pct"/>
            <w:textDirection w:val="lrTb"/>
            <w:noWrap w:val="false"/>
          </w:tcPr>
          <w:p>
            <w:pPr>
              <w:pStyle w:val="1316"/>
            </w:pPr>
            <w:r>
              <w:t xml:space="preserve">Сверочные отчеты</w:t>
            </w:r>
            <w:r/>
          </w:p>
        </w:tc>
        <w:tc>
          <w:tcPr>
            <w:tcW w:w="860" w:type="pct"/>
            <w:vMerge w:val="continue"/>
            <w:textDirection w:val="lrTb"/>
            <w:noWrap w:val="false"/>
          </w:tcPr>
          <w:p>
            <w:pPr>
              <w:pStyle w:val="1316"/>
            </w:pPr>
            <w:r/>
            <w:r/>
          </w:p>
        </w:tc>
        <w:tc>
          <w:tcPr>
            <w:tcW w:w="1324" w:type="pct"/>
            <w:textDirection w:val="lrTb"/>
            <w:noWrap w:val="false"/>
          </w:tcPr>
          <w:p>
            <w:pPr>
              <w:pStyle w:val="1316"/>
            </w:pPr>
            <w:r>
              <w:t xml:space="preserve">Формирование диагностического отчета по справочникам ЛС</w:t>
            </w:r>
            <w:r/>
          </w:p>
        </w:tc>
        <w:tc>
          <w:tcPr>
            <w:tcW w:w="731" w:type="pct"/>
            <w:vMerge w:val="continue"/>
            <w:textDirection w:val="lrTb"/>
            <w:noWrap w:val="false"/>
          </w:tcPr>
          <w:p>
            <w:pPr>
              <w:pStyle w:val="1316"/>
            </w:pPr>
            <w:r/>
            <w:r/>
          </w:p>
        </w:tc>
        <w:tc>
          <w:tcPr>
            <w:tcW w:w="599" w:type="pct"/>
            <w:vMerge w:val="continue"/>
            <w:textDirection w:val="lrTb"/>
            <w:noWrap w:val="false"/>
          </w:tcPr>
          <w:p>
            <w:pPr>
              <w:pStyle w:val="1316"/>
            </w:pPr>
            <w:r/>
            <w:r/>
          </w:p>
        </w:tc>
      </w:tr>
    </w:tbl>
    <w:p>
      <w:pPr>
        <w:pStyle w:val="1282"/>
        <w:jc w:val="both"/>
      </w:pPr>
      <w:r/>
      <w:bookmarkStart w:id="140" w:name="_Toc478574643"/>
      <w:r/>
      <w:bookmarkStart w:id="141" w:name="_Toc489894257"/>
      <w:r/>
      <w:bookmarkStart w:id="142" w:name="_Ref64995466"/>
      <w:r/>
      <w:bookmarkStart w:id="143" w:name="_Ref65149069"/>
      <w:r/>
      <w:bookmarkStart w:id="144" w:name="_Ref88729287"/>
      <w:r/>
      <w:bookmarkStart w:id="145" w:name="_Ref129854910"/>
      <w:r/>
      <w:bookmarkStart w:id="146" w:name="_Ref152143986"/>
      <w:r/>
      <w:bookmarkStart w:id="147" w:name="_Toc162436007"/>
      <w:r/>
      <w:bookmarkStart w:id="148" w:name="_Toc162884823"/>
      <w:r/>
      <w:bookmarkStart w:id="149" w:name="_Ref166569200"/>
      <w:r/>
      <w:bookmarkStart w:id="150" w:name="_Toc221869886"/>
      <w:r/>
      <w:bookmarkStart w:id="151" w:name="OLE_LINK46"/>
      <w:r/>
      <w:bookmarkStart w:id="152" w:name="OLE_LINK47"/>
      <w:r/>
      <w:bookmarkEnd w:id="132"/>
      <w:r/>
      <w:bookmarkEnd w:id="133"/>
      <w:r>
        <w:t xml:space="preserve">Условия, при соблюдении (выполнении, наступлении) которых обеспечивается применение средства автоматизации в соответствии с назначением (например, вид ЭВМ и конфигурация технических средств)</w:t>
      </w:r>
      <w:bookmarkEnd w:id="140"/>
      <w:r/>
      <w:bookmarkEnd w:id="141"/>
      <w:r/>
      <w:bookmarkEnd w:id="142"/>
      <w:r/>
      <w:bookmarkEnd w:id="143"/>
      <w:r/>
      <w:bookmarkEnd w:id="144"/>
      <w:r/>
      <w:bookmarkEnd w:id="145"/>
      <w:r/>
      <w:bookmarkEnd w:id="146"/>
      <w:r/>
      <w:bookmarkEnd w:id="147"/>
      <w:r/>
      <w:bookmarkEnd w:id="148"/>
      <w:r/>
      <w:bookmarkEnd w:id="149"/>
      <w:r/>
      <w:bookmarkEnd w:id="150"/>
      <w:r/>
      <w:r/>
    </w:p>
    <w:p>
      <w:pPr>
        <w:pStyle w:val="1306"/>
      </w:pPr>
      <w:r>
        <w:t xml:space="preserve">Для доступа к функциям Модуля НСИ ЭБ на компьютере Пользователя должно быть установлено следующее программное обеспечение:</w:t>
      </w:r>
      <w:r/>
    </w:p>
    <w:p>
      <w:pPr>
        <w:pStyle w:val="1296"/>
      </w:pPr>
      <w:r>
        <w:t xml:space="preserve">Операционная система;</w:t>
      </w:r>
      <w:r/>
    </w:p>
    <w:p>
      <w:pPr>
        <w:pStyle w:val="1296"/>
      </w:pPr>
      <w:r>
        <w:t xml:space="preserve">Веб-обозреватель (браузер);</w:t>
      </w:r>
      <w:r/>
    </w:p>
    <w:p>
      <w:pPr>
        <w:pStyle w:val="1296"/>
      </w:pPr>
      <w:r>
        <w:t xml:space="preserve">Программные средства для создания защищенного TLS-соединения;</w:t>
      </w:r>
      <w:r/>
    </w:p>
    <w:p>
      <w:pPr>
        <w:pStyle w:val="1296"/>
      </w:pPr>
      <w:r>
        <w:t xml:space="preserve">Драйвер используемого носителя ключевой информации сертификата пользователя;</w:t>
      </w:r>
      <w:r/>
    </w:p>
    <w:p>
      <w:pPr>
        <w:pStyle w:val="1296"/>
      </w:pPr>
      <w:r>
        <w:t xml:space="preserve">Средство электронной подписи;</w:t>
      </w:r>
      <w:r/>
    </w:p>
    <w:p>
      <w:pPr>
        <w:pStyle w:val="1296"/>
      </w:pPr>
      <w:r>
        <w:t xml:space="preserve">Дополнительное ПО.</w:t>
      </w:r>
      <w:r/>
    </w:p>
    <w:p>
      <w:pPr>
        <w:pStyle w:val="1306"/>
        <w:rPr>
          <w:rFonts w:eastAsia="Arial Unicode MS"/>
        </w:rPr>
      </w:pPr>
      <w:r>
        <w:rPr>
          <w:rFonts w:eastAsia="Arial Unicode MS"/>
        </w:rPr>
        <w:t xml:space="preserve">На каждом рабочем месте:</w:t>
      </w:r>
      <w:r>
        <w:rPr>
          <w:rFonts w:eastAsia="Arial Unicode MS"/>
        </w:rPr>
      </w:r>
    </w:p>
    <w:p>
      <w:pPr>
        <w:pStyle w:val="1296"/>
        <w:rPr>
          <w:rFonts w:eastAsia="Arial Unicode MS"/>
        </w:rPr>
      </w:pPr>
      <w:r>
        <w:rPr>
          <w:rFonts w:eastAsia="Arial Unicode MS"/>
        </w:rPr>
        <w:t xml:space="preserve">должны быть настроены СКЗИ, обеспечивающие подключение к Подсистеме по протоколу TLS и формирование усиленной электронной подписи;</w:t>
      </w:r>
      <w:r>
        <w:rPr>
          <w:rFonts w:eastAsia="Arial Unicode MS"/>
        </w:rPr>
      </w:r>
    </w:p>
    <w:p>
      <w:pPr>
        <w:pStyle w:val="1296"/>
        <w:rPr>
          <w:rFonts w:eastAsia="Arial Unicode MS"/>
        </w:rPr>
      </w:pPr>
      <w:r>
        <w:rPr>
          <w:rFonts w:eastAsia="Arial Unicode MS"/>
        </w:rPr>
        <w:t xml:space="preserve">пользователю должен быть выдан сертификат, выпущенный по ГОСТ Р 34.10-2012;</w:t>
      </w:r>
      <w:r>
        <w:rPr>
          <w:rFonts w:eastAsia="Arial Unicode MS"/>
        </w:rPr>
      </w:r>
    </w:p>
    <w:p>
      <w:pPr>
        <w:pStyle w:val="1296"/>
      </w:pPr>
      <w:r>
        <w:rPr>
          <w:rFonts w:eastAsia="Arial Unicode MS"/>
        </w:rPr>
        <w:t xml:space="preserve">должен быть установлен носитель, содержащий ключ электронной подписи пользователя и сертификат ключа проверки электронной подписи пользователя.</w:t>
      </w:r>
      <w:r/>
    </w:p>
    <w:p>
      <w:pPr>
        <w:pStyle w:val="1306"/>
      </w:pPr>
      <w:r>
        <w:rPr>
          <w:rFonts w:eastAsia="Arial Unicode MS"/>
        </w:rPr>
        <w:t xml:space="preserve">Минимальный состав аппаратных средств для рабочего места</w:t>
      </w:r>
      <w:r>
        <w:t xml:space="preserve">:</w:t>
      </w:r>
      <w:r/>
    </w:p>
    <w:p>
      <w:pPr>
        <w:pStyle w:val="1296"/>
        <w:rPr>
          <w:rFonts w:eastAsia="Arial Unicode MS"/>
        </w:rPr>
      </w:pPr>
      <w:r>
        <w:rPr>
          <w:rFonts w:eastAsia="Arial Unicode MS"/>
        </w:rPr>
        <w:t xml:space="preserve">процессор x86 4-6 Core частота 3.0 ГГц;</w:t>
      </w:r>
      <w:r>
        <w:rPr>
          <w:rFonts w:eastAsia="Arial Unicode MS"/>
        </w:rPr>
      </w:r>
    </w:p>
    <w:p>
      <w:pPr>
        <w:pStyle w:val="1296"/>
        <w:rPr>
          <w:rFonts w:eastAsia="Arial Unicode MS"/>
        </w:rPr>
      </w:pPr>
      <w:r>
        <w:rPr>
          <w:rFonts w:eastAsia="Arial Unicode MS"/>
        </w:rPr>
        <w:t xml:space="preserve">ОЗУ 8-12 Гб; </w:t>
      </w:r>
      <w:r>
        <w:rPr>
          <w:rFonts w:eastAsia="Arial Unicode MS"/>
        </w:rPr>
      </w:r>
    </w:p>
    <w:p>
      <w:pPr>
        <w:pStyle w:val="1296"/>
        <w:rPr>
          <w:rFonts w:eastAsia="Arial Unicode MS"/>
        </w:rPr>
      </w:pPr>
      <w:r>
        <w:rPr>
          <w:rFonts w:eastAsia="Arial Unicode MS"/>
        </w:rPr>
        <w:t xml:space="preserve">ПЗУ 40 Гб;</w:t>
      </w:r>
      <w:r>
        <w:rPr>
          <w:rFonts w:eastAsia="Arial Unicode MS"/>
        </w:rPr>
      </w:r>
    </w:p>
    <w:p>
      <w:pPr>
        <w:pStyle w:val="1296"/>
      </w:pPr>
      <w:r>
        <w:rPr>
          <w:rFonts w:eastAsia="Arial Unicode MS"/>
        </w:rPr>
        <w:t xml:space="preserve">монитор 1024х768</w:t>
      </w:r>
      <w:r>
        <w:t xml:space="preserve">;</w:t>
      </w:r>
      <w:r/>
    </w:p>
    <w:p>
      <w:pPr>
        <w:pStyle w:val="1296"/>
      </w:pPr>
      <w:r>
        <w:rPr>
          <w:rFonts w:eastAsia="Arial Unicode MS"/>
        </w:rPr>
        <w:t xml:space="preserve">сеть FastEthernet (100+ Mbit/s) с пропускной способностью 100 + Мбит/сек</w:t>
      </w:r>
      <w:r>
        <w:t xml:space="preserve">.</w:t>
      </w:r>
      <w:r/>
    </w:p>
    <w:p>
      <w:pPr>
        <w:pStyle w:val="1306"/>
      </w:pPr>
      <w:r>
        <w:rPr>
          <w:rFonts w:eastAsia="Arial Unicode MS"/>
        </w:rPr>
        <w:t xml:space="preserve">Требования к программным средствам для рабочего места</w:t>
      </w:r>
      <w:r>
        <w:t xml:space="preserve">:</w:t>
      </w:r>
      <w:r/>
    </w:p>
    <w:p>
      <w:pPr>
        <w:pStyle w:val="1467"/>
      </w:pPr>
      <w:r>
        <w:t xml:space="preserve">Перечень поддерживаемых операционных систем:</w:t>
      </w:r>
      <w:r/>
    </w:p>
    <w:p>
      <w:pPr>
        <w:pStyle w:val="1297"/>
        <w:rPr>
          <w:rFonts w:eastAsia="Arial Unicode MS"/>
        </w:rPr>
      </w:pPr>
      <w:r>
        <w:rPr>
          <w:rFonts w:eastAsia="Arial Unicode MS"/>
        </w:rPr>
        <w:t xml:space="preserve">ОС семейства MS Windows, имеющие действующую техническую поддержку;</w:t>
      </w:r>
      <w:r>
        <w:rPr>
          <w:rFonts w:eastAsia="Arial Unicode MS"/>
        </w:rPr>
      </w:r>
    </w:p>
    <w:p>
      <w:pPr>
        <w:pStyle w:val="1297"/>
        <w:rPr>
          <w:rFonts w:eastAsia="Arial Unicode MS"/>
        </w:rPr>
      </w:pPr>
      <w:r>
        <w:rPr>
          <w:rFonts w:eastAsia="Arial Unicode MS"/>
        </w:rPr>
        <w:t xml:space="preserve">ОС Linux, версии которых присутствуют в едином реестре российских программ для электронных вычислительных машин и баз данных Министерства цифрового развития, связи и массовых коммуникаций Российской Федерации (Astra Linux SE, ALT Linux, Гослинукс, Ред ОС).</w:t>
      </w:r>
      <w:r>
        <w:rPr>
          <w:rFonts w:eastAsia="Arial Unicode MS"/>
        </w:rPr>
      </w:r>
    </w:p>
    <w:p>
      <w:pPr>
        <w:pStyle w:val="1340"/>
      </w:pPr>
      <w:r>
        <w:t xml:space="preserve">Поддерживаются как 32-битная, так и 64-битная архитектуры ОС. Допускается применение любого официального пакета обновлений ОС.</w:t>
      </w:r>
      <w:r/>
    </w:p>
    <w:p>
      <w:pPr>
        <w:pStyle w:val="1467"/>
      </w:pPr>
      <w:r>
        <w:t xml:space="preserve">Для входа в личный кабинет пользователя ГИИС «Электронный бюджет» должна использоваться одна из следующих версий веб-обозревателя:</w:t>
      </w:r>
      <w:r/>
    </w:p>
    <w:p>
      <w:pPr>
        <w:pStyle w:val="1297"/>
        <w:rPr>
          <w:rFonts w:eastAsia="Arial Unicode MS"/>
        </w:rPr>
      </w:pPr>
      <w:r>
        <w:rPr>
          <w:rFonts w:eastAsia="Arial Unicode MS"/>
        </w:rPr>
        <w:t xml:space="preserve">Сhromium-gost версии 87.0.4280.88 и выше на одной из ОС Linux: Astra Linux SE, ALT Linux, Гослинукс, Ред ОС;</w:t>
      </w:r>
      <w:r>
        <w:rPr>
          <w:rFonts w:eastAsia="Arial Unicode MS"/>
        </w:rPr>
      </w:r>
    </w:p>
    <w:p>
      <w:pPr>
        <w:pStyle w:val="1297"/>
      </w:pPr>
      <w:r>
        <w:rPr>
          <w:rFonts w:eastAsia="Arial Unicode MS"/>
        </w:rPr>
        <w:t xml:space="preserve">Яндекс.Браузер версии 20.6 и выше;</w:t>
      </w:r>
      <w:r/>
    </w:p>
    <w:p>
      <w:pPr>
        <w:pStyle w:val="1297"/>
      </w:pPr>
      <w:r>
        <w:rPr>
          <w:rFonts w:eastAsia="Arial Unicode MS"/>
        </w:rPr>
        <w:t xml:space="preserve">веб-обозреватели, версии которых включены в репозитории ОС, присутствующих в едином реестре российских программ для электронных вычислительных машин и баз данных Министерства цифрового развития, связи и массовых коммуникаций Российской Федерации. </w:t>
      </w:r>
      <w:r/>
    </w:p>
    <w:p>
      <w:pPr>
        <w:pStyle w:val="1467"/>
        <w:rPr>
          <w:rFonts w:eastAsia="Arial Unicode MS"/>
        </w:rPr>
      </w:pPr>
      <w:r>
        <w:rPr>
          <w:rFonts w:eastAsia="Arial Unicode MS"/>
        </w:rPr>
        <w:t xml:space="preserve">Поддерживаются следующие носители ключевой информации сертификата пользователя:</w:t>
      </w:r>
      <w:r>
        <w:rPr>
          <w:rFonts w:eastAsia="Arial Unicode MS"/>
        </w:rPr>
      </w:r>
    </w:p>
    <w:p>
      <w:pPr>
        <w:pStyle w:val="1297"/>
        <w:rPr>
          <w:rFonts w:eastAsia="Arial Unicode MS"/>
        </w:rPr>
      </w:pPr>
      <w:r>
        <w:rPr>
          <w:rFonts w:eastAsia="Arial Unicode MS"/>
        </w:rPr>
        <w:t xml:space="preserve">USB </w:t>
      </w:r>
      <w:r>
        <w:rPr>
          <w:rStyle w:val="1788"/>
          <w:rFonts w:eastAsia="Arial Unicode MS"/>
        </w:rPr>
        <w:t xml:space="preserve">флеш</w:t>
      </w:r>
      <w:r>
        <w:rPr>
          <w:rFonts w:eastAsia="Arial Unicode MS"/>
        </w:rPr>
        <w:t xml:space="preserve">-накопитель;</w:t>
      </w:r>
      <w:r>
        <w:rPr>
          <w:rFonts w:eastAsia="Arial Unicode MS"/>
        </w:rPr>
      </w:r>
    </w:p>
    <w:p>
      <w:pPr>
        <w:pStyle w:val="1297"/>
        <w:rPr>
          <w:rFonts w:eastAsia="Arial Unicode MS"/>
        </w:rPr>
      </w:pPr>
      <w:r>
        <w:rPr>
          <w:rStyle w:val="1788"/>
          <w:rFonts w:eastAsia="Arial Unicode MS"/>
        </w:rPr>
        <w:t xml:space="preserve">ruToken</w:t>
      </w:r>
      <w:r>
        <w:rPr>
          <w:rFonts w:eastAsia="Arial Unicode MS"/>
        </w:rPr>
        <w:t xml:space="preserve"> S;</w:t>
      </w:r>
      <w:r>
        <w:rPr>
          <w:rFonts w:eastAsia="Arial Unicode MS"/>
        </w:rPr>
      </w:r>
    </w:p>
    <w:p>
      <w:pPr>
        <w:pStyle w:val="1297"/>
        <w:rPr>
          <w:rFonts w:eastAsia="Arial Unicode MS"/>
        </w:rPr>
      </w:pPr>
      <w:r>
        <w:rPr>
          <w:rStyle w:val="1788"/>
          <w:rFonts w:eastAsia="Arial Unicode MS"/>
        </w:rPr>
        <w:t xml:space="preserve">eToken</w:t>
      </w:r>
      <w:r>
        <w:rPr>
          <w:rFonts w:eastAsia="Arial Unicode MS"/>
        </w:rPr>
        <w:t xml:space="preserve"> Pro;</w:t>
      </w:r>
      <w:r>
        <w:rPr>
          <w:rFonts w:eastAsia="Arial Unicode MS"/>
        </w:rPr>
      </w:r>
    </w:p>
    <w:p>
      <w:pPr>
        <w:pStyle w:val="1297"/>
        <w:rPr>
          <w:rFonts w:eastAsia="Arial Unicode MS"/>
        </w:rPr>
      </w:pPr>
      <w:r>
        <w:rPr>
          <w:rStyle w:val="1788"/>
          <w:rFonts w:eastAsia="Arial Unicode MS"/>
        </w:rPr>
        <w:t xml:space="preserve">eToken</w:t>
      </w:r>
      <w:r>
        <w:rPr>
          <w:rFonts w:eastAsia="Arial Unicode MS"/>
        </w:rPr>
        <w:t xml:space="preserve"> PRO (Java).</w:t>
      </w:r>
      <w:r>
        <w:rPr>
          <w:rFonts w:eastAsia="Arial Unicode MS"/>
        </w:rPr>
      </w:r>
    </w:p>
    <w:p>
      <w:pPr>
        <w:pStyle w:val="1467"/>
        <w:rPr>
          <w:rFonts w:eastAsia="Arial Unicode MS"/>
        </w:rPr>
      </w:pPr>
      <w:r>
        <w:rPr>
          <w:rFonts w:eastAsia="Arial Unicode MS"/>
        </w:rPr>
        <w:t xml:space="preserve">Перечень программных СКЗИ, устанавливаемых на клиентских АРМ:</w:t>
      </w:r>
      <w:r>
        <w:rPr>
          <w:rFonts w:eastAsia="Arial Unicode MS"/>
        </w:rPr>
      </w:r>
    </w:p>
    <w:p>
      <w:pPr>
        <w:pStyle w:val="1297"/>
        <w:rPr>
          <w:rFonts w:eastAsia="Arial Unicode MS"/>
        </w:rPr>
      </w:pPr>
      <w:r>
        <w:rPr>
          <w:rFonts w:eastAsia="Arial Unicode MS"/>
        </w:rPr>
        <w:t xml:space="preserve">средства создания защищенного TLS-соединения (на выбор) с классом СКЗИ КС2 и выше:</w:t>
      </w:r>
      <w:r>
        <w:rPr>
          <w:rFonts w:eastAsia="Arial Unicode MS"/>
        </w:rPr>
      </w:r>
    </w:p>
    <w:p>
      <w:pPr>
        <w:pStyle w:val="1298"/>
        <w:ind w:left="1419"/>
        <w:rPr>
          <w:rFonts w:eastAsia="Arial Unicode MS"/>
        </w:rPr>
      </w:pPr>
      <w:r>
        <w:rPr>
          <w:rFonts w:eastAsia="Arial Unicode MS"/>
        </w:rPr>
        <w:t xml:space="preserve">СКЗИ «Континент TLS-клиент» версии 2;</w:t>
      </w:r>
      <w:r>
        <w:rPr>
          <w:rFonts w:eastAsia="Arial Unicode MS"/>
        </w:rPr>
      </w:r>
    </w:p>
    <w:p>
      <w:pPr>
        <w:pStyle w:val="1298"/>
        <w:ind w:left="1419"/>
        <w:rPr>
          <w:rFonts w:eastAsia="Arial Unicode MS"/>
        </w:rPr>
      </w:pPr>
      <w:r>
        <w:rPr>
          <w:rFonts w:eastAsia="Arial Unicode MS"/>
        </w:rPr>
        <w:t xml:space="preserve">СКЗИ «КриптоПро CSP» версии 5.0 или выше</w:t>
      </w:r>
      <w:r>
        <w:rPr>
          <w:rStyle w:val="1352"/>
          <w:rFonts w:eastAsia="Arial Unicode MS"/>
        </w:rPr>
        <w:footnoteReference w:id="2"/>
      </w:r>
      <w:r>
        <w:rPr>
          <w:rFonts w:eastAsia="Arial Unicode MS"/>
        </w:rPr>
        <w:t xml:space="preserve">;</w:t>
      </w:r>
      <w:r>
        <w:rPr>
          <w:rFonts w:eastAsia="Arial Unicode MS"/>
        </w:rPr>
      </w:r>
    </w:p>
    <w:p>
      <w:pPr>
        <w:pStyle w:val="1297"/>
        <w:rPr>
          <w:rFonts w:eastAsia="Arial Unicode MS"/>
        </w:rPr>
      </w:pPr>
      <w:r>
        <w:t xml:space="preserve">средства ЭП, сертифицированные ФСБ России по классу КС2</w:t>
      </w:r>
      <w:r>
        <w:rPr>
          <w:rFonts w:eastAsia="Arial Unicode MS"/>
        </w:rPr>
        <w:t xml:space="preserve">:</w:t>
      </w:r>
      <w:r>
        <w:rPr>
          <w:rFonts w:eastAsia="Arial Unicode MS"/>
        </w:rPr>
      </w:r>
    </w:p>
    <w:p>
      <w:pPr>
        <w:pStyle w:val="1298"/>
        <w:ind w:left="1419"/>
        <w:rPr>
          <w:rFonts w:eastAsia="Arial Unicode MS"/>
        </w:rPr>
      </w:pPr>
      <w:r>
        <w:rPr>
          <w:rFonts w:eastAsia="Arial Unicode MS"/>
        </w:rPr>
        <w:t xml:space="preserve">СКЗИ «КриптоПро CSP» версии 5.0 или выше;</w:t>
      </w:r>
      <w:r>
        <w:rPr>
          <w:rFonts w:eastAsia="Arial Unicode MS"/>
        </w:rPr>
      </w:r>
    </w:p>
    <w:p>
      <w:pPr>
        <w:pStyle w:val="1297"/>
        <w:rPr>
          <w:rFonts w:eastAsia="Arial Unicode MS"/>
        </w:rPr>
      </w:pPr>
      <w:r>
        <w:rPr>
          <w:rFonts w:eastAsia="Arial Unicode MS"/>
        </w:rPr>
        <w:t xml:space="preserve">средства подключения через защищенное VPN-соединение с классом СКЗИ КС2 и выше:</w:t>
      </w:r>
      <w:r>
        <w:rPr>
          <w:rFonts w:eastAsia="Arial Unicode MS"/>
        </w:rPr>
      </w:r>
    </w:p>
    <w:p>
      <w:pPr>
        <w:pStyle w:val="1298"/>
        <w:ind w:left="1419"/>
        <w:rPr>
          <w:rFonts w:eastAsia="Arial Unicode MS"/>
        </w:rPr>
      </w:pPr>
      <w:r>
        <w:rPr>
          <w:rFonts w:eastAsia="Arial Unicode MS"/>
        </w:rPr>
        <w:t xml:space="preserve">СКЗИ «Континент АП» версии 4.</w:t>
      </w:r>
      <w:r>
        <w:rPr>
          <w:rFonts w:eastAsia="Arial Unicode MS"/>
        </w:rPr>
      </w:r>
    </w:p>
    <w:p>
      <w:pPr>
        <w:pStyle w:val="1467"/>
        <w:rPr>
          <w:rFonts w:eastAsia="Arial Unicode MS"/>
        </w:rPr>
      </w:pPr>
      <w:r>
        <w:rPr>
          <w:rFonts w:eastAsia="Arial Unicode MS"/>
        </w:rPr>
        <w:t xml:space="preserve">Перечень программных средств защиты информации от несанкционированного доступа (на выбор) не ниже 5 класса СВТ и (или) не ниже 4 класса СрЗИ:</w:t>
      </w:r>
      <w:r>
        <w:rPr>
          <w:rFonts w:eastAsia="Arial Unicode MS"/>
        </w:rPr>
      </w:r>
    </w:p>
    <w:p>
      <w:pPr>
        <w:pStyle w:val="1297"/>
        <w:rPr>
          <w:rFonts w:eastAsia="Arial Unicode MS"/>
        </w:rPr>
      </w:pPr>
      <w:r>
        <w:rPr>
          <w:rFonts w:eastAsia="Arial Unicode MS"/>
        </w:rPr>
        <w:t xml:space="preserve">система защиты информации от несанкционированного доступа «Dallas Lock 8.0-K»;</w:t>
      </w:r>
      <w:r>
        <w:rPr>
          <w:rFonts w:eastAsia="Arial Unicode MS"/>
        </w:rPr>
      </w:r>
    </w:p>
    <w:p>
      <w:pPr>
        <w:pStyle w:val="1297"/>
        <w:rPr>
          <w:rFonts w:eastAsia="Arial Unicode MS"/>
        </w:rPr>
      </w:pPr>
      <w:r>
        <w:rPr>
          <w:rFonts w:eastAsia="Arial Unicode MS"/>
        </w:rPr>
        <w:t xml:space="preserve">система защиты информации от несанкционированного доступа «Dallas Lock Linux»;</w:t>
      </w:r>
      <w:r>
        <w:rPr>
          <w:rFonts w:eastAsia="Arial Unicode MS"/>
        </w:rPr>
      </w:r>
    </w:p>
    <w:p>
      <w:pPr>
        <w:pStyle w:val="1297"/>
        <w:rPr>
          <w:rFonts w:eastAsia="Arial Unicode MS"/>
        </w:rPr>
      </w:pPr>
      <w:r>
        <w:rPr>
          <w:rFonts w:eastAsia="Arial Unicode MS"/>
        </w:rPr>
        <w:t xml:space="preserve">средство защиты информации «Secret Net LSP»;</w:t>
      </w:r>
      <w:r>
        <w:rPr>
          <w:rFonts w:eastAsia="Arial Unicode MS"/>
        </w:rPr>
      </w:r>
    </w:p>
    <w:p>
      <w:pPr>
        <w:pStyle w:val="1297"/>
        <w:rPr>
          <w:rFonts w:eastAsia="Arial Unicode MS"/>
        </w:rPr>
      </w:pPr>
      <w:r>
        <w:rPr>
          <w:rFonts w:eastAsia="Arial Unicode MS"/>
        </w:rPr>
        <w:t xml:space="preserve">средство защиты информации «Secret Net Studio»;</w:t>
      </w:r>
      <w:r>
        <w:rPr>
          <w:rFonts w:eastAsia="Arial Unicode MS"/>
        </w:rPr>
      </w:r>
    </w:p>
    <w:p>
      <w:pPr>
        <w:pStyle w:val="1297"/>
        <w:rPr>
          <w:rFonts w:eastAsia="Arial Unicode MS"/>
        </w:rPr>
      </w:pPr>
      <w:r>
        <w:rPr>
          <w:rFonts w:eastAsia="Arial Unicode MS"/>
        </w:rPr>
        <w:t xml:space="preserve">специальное программное обеспечение средств защиты информации от несанкционированного доступа «Аккорд-Win64 K».</w:t>
      </w:r>
      <w:r>
        <w:rPr>
          <w:rFonts w:eastAsia="Arial Unicode MS"/>
        </w:rPr>
      </w:r>
    </w:p>
    <w:p>
      <w:pPr>
        <w:pStyle w:val="1467"/>
        <w:rPr>
          <w:rFonts w:eastAsia="Arial Unicode MS"/>
        </w:rPr>
      </w:pPr>
      <w:r>
        <w:rPr>
          <w:rFonts w:eastAsia="Arial Unicode MS"/>
        </w:rPr>
        <w:t xml:space="preserve">Перечень средств антивирусной защиты (на выбор) не ниже 4 класса САВЗ тип Г (ИТ.САВЗ.Г4.ПЗ):</w:t>
      </w:r>
      <w:r>
        <w:rPr>
          <w:rFonts w:eastAsia="Arial Unicode MS"/>
        </w:rPr>
      </w:r>
    </w:p>
    <w:p>
      <w:pPr>
        <w:pStyle w:val="1297"/>
        <w:rPr>
          <w:rFonts w:eastAsia="Arial Unicode MS"/>
          <w:lang w:val="en-US"/>
        </w:rPr>
      </w:pPr>
      <w:r>
        <w:rPr>
          <w:rFonts w:eastAsia="Arial Unicode MS"/>
        </w:rPr>
        <w:t xml:space="preserve">программное</w:t>
      </w:r>
      <w:r>
        <w:rPr>
          <w:rFonts w:eastAsia="Arial Unicode MS"/>
          <w:lang w:val="en-US"/>
        </w:rPr>
        <w:t xml:space="preserve"> </w:t>
      </w:r>
      <w:r>
        <w:rPr>
          <w:rFonts w:eastAsia="Arial Unicode MS"/>
        </w:rPr>
        <w:t xml:space="preserve">изделие</w:t>
      </w:r>
      <w:r>
        <w:rPr>
          <w:rFonts w:eastAsia="Arial Unicode MS"/>
          <w:lang w:val="en-US"/>
        </w:rPr>
        <w:t xml:space="preserve"> «Kaspersky Endpoint Security </w:t>
      </w:r>
      <w:r>
        <w:rPr>
          <w:rFonts w:eastAsia="Arial Unicode MS"/>
        </w:rPr>
        <w:t xml:space="preserve">для</w:t>
      </w:r>
      <w:r>
        <w:rPr>
          <w:rFonts w:eastAsia="Arial Unicode MS"/>
          <w:lang w:val="en-US"/>
        </w:rPr>
        <w:t xml:space="preserve"> Windows»;</w:t>
      </w:r>
      <w:r>
        <w:rPr>
          <w:rFonts w:eastAsia="Arial Unicode MS"/>
          <w:lang w:val="en-US"/>
        </w:rPr>
      </w:r>
    </w:p>
    <w:p>
      <w:pPr>
        <w:pStyle w:val="1297"/>
        <w:rPr>
          <w:rFonts w:eastAsia="Arial Unicode MS"/>
          <w:lang w:val="en-US"/>
        </w:rPr>
      </w:pPr>
      <w:r>
        <w:rPr>
          <w:rFonts w:eastAsia="Arial Unicode MS"/>
        </w:rPr>
        <w:t xml:space="preserve">программное</w:t>
      </w:r>
      <w:r>
        <w:rPr>
          <w:rFonts w:eastAsia="Arial Unicode MS"/>
          <w:lang w:val="en-US"/>
        </w:rPr>
        <w:t xml:space="preserve"> </w:t>
      </w:r>
      <w:r>
        <w:rPr>
          <w:rFonts w:eastAsia="Arial Unicode MS"/>
        </w:rPr>
        <w:t xml:space="preserve">изделие</w:t>
      </w:r>
      <w:r>
        <w:rPr>
          <w:rFonts w:eastAsia="Arial Unicode MS"/>
          <w:lang w:val="en-US"/>
        </w:rPr>
        <w:t xml:space="preserve"> «Kaspersky Endpoint Security </w:t>
      </w:r>
      <w:r>
        <w:rPr>
          <w:rFonts w:eastAsia="Arial Unicode MS"/>
        </w:rPr>
        <w:t xml:space="preserve">для</w:t>
      </w:r>
      <w:r>
        <w:rPr>
          <w:rFonts w:eastAsia="Arial Unicode MS"/>
          <w:lang w:val="en-US"/>
        </w:rPr>
        <w:t xml:space="preserve"> Linux»;</w:t>
      </w:r>
      <w:r>
        <w:rPr>
          <w:rFonts w:eastAsia="Arial Unicode MS"/>
          <w:lang w:val="en-US"/>
        </w:rPr>
      </w:r>
    </w:p>
    <w:p>
      <w:pPr>
        <w:pStyle w:val="1297"/>
        <w:rPr>
          <w:rFonts w:eastAsia="Arial Unicode MS"/>
          <w:lang w:val="en-US"/>
        </w:rPr>
      </w:pPr>
      <w:r>
        <w:rPr>
          <w:rFonts w:eastAsia="Arial Unicode MS"/>
          <w:lang w:val="en-US"/>
        </w:rPr>
        <w:t xml:space="preserve">Dr.Web Enterprise Security Suite;</w:t>
      </w:r>
      <w:r>
        <w:rPr>
          <w:rFonts w:eastAsia="Arial Unicode MS"/>
          <w:lang w:val="en-US"/>
        </w:rPr>
      </w:r>
    </w:p>
    <w:p>
      <w:pPr>
        <w:pStyle w:val="1297"/>
        <w:rPr>
          <w:rFonts w:eastAsia="Arial Unicode MS"/>
        </w:rPr>
      </w:pPr>
      <w:r>
        <w:rPr>
          <w:rFonts w:eastAsia="Arial Unicode MS"/>
        </w:rPr>
        <w:t xml:space="preserve">антивирусное средство из состава Secret Net Studio.</w:t>
      </w:r>
      <w:r>
        <w:rPr>
          <w:rFonts w:eastAsia="Arial Unicode MS"/>
        </w:rPr>
      </w:r>
    </w:p>
    <w:p>
      <w:pPr>
        <w:pStyle w:val="1305"/>
      </w:pPr>
      <w:r>
        <w:rPr>
          <w:rFonts w:eastAsia="Arial Unicode MS"/>
        </w:rPr>
        <w:t xml:space="preserve">Обеспечение информационной безопасности на компьютере Пользов</w:t>
      </w:r>
      <w:r>
        <w:rPr>
          <w:rFonts w:eastAsia="Arial Unicode MS"/>
        </w:rPr>
        <w:t xml:space="preserve">ателя должно осуществляться в соответствии с требованиями, содержащимися в документе «Требования по обеспечению информационной безопасности автоматизированного рабочего места пользователя системы «Электронный бюджет», утвержденном Федеральным казначейством</w:t>
      </w:r>
      <w:r>
        <w:rPr>
          <w:rFonts w:eastAsia="Arial Unicode MS"/>
        </w:rPr>
        <w:t xml:space="preserve">.</w:t>
      </w:r>
      <w:r/>
    </w:p>
    <w:p>
      <w:pPr>
        <w:pStyle w:val="1281"/>
        <w:ind w:left="431" w:hanging="431"/>
        <w:spacing w:before="0"/>
      </w:pPr>
      <w:r/>
      <w:bookmarkStart w:id="153" w:name="_Toc162885661"/>
      <w:r/>
      <w:bookmarkStart w:id="154" w:name="_Ref530301153"/>
      <w:r/>
      <w:bookmarkStart w:id="155" w:name="_Toc221869887"/>
      <w:r/>
      <w:bookmarkEnd w:id="151"/>
      <w:r/>
      <w:bookmarkEnd w:id="152"/>
      <w:r/>
      <w:bookmarkEnd w:id="153"/>
      <w:r>
        <w:t xml:space="preserve">Описание </w:t>
      </w:r>
      <w:bookmarkStart w:id="156" w:name="_Ref495503378"/>
      <w:r/>
      <w:bookmarkStart w:id="157" w:name="_Toc518659874"/>
      <w:r/>
      <w:bookmarkEnd w:id="154"/>
      <w:r>
        <w:t xml:space="preserve">последовательности действий работника</w:t>
      </w:r>
      <w:bookmarkEnd w:id="155"/>
      <w:r/>
      <w:bookmarkEnd w:id="156"/>
      <w:r/>
      <w:bookmarkEnd w:id="157"/>
      <w:r/>
      <w:r/>
    </w:p>
    <w:p>
      <w:pPr>
        <w:pStyle w:val="1282"/>
      </w:pPr>
      <w:r/>
      <w:bookmarkStart w:id="158" w:name="_Toc478574673"/>
      <w:r/>
      <w:bookmarkStart w:id="159" w:name="_Toc481583249"/>
      <w:r/>
      <w:bookmarkStart w:id="160" w:name="_Toc484190430"/>
      <w:r/>
      <w:bookmarkStart w:id="161" w:name="_Toc484192791"/>
      <w:r/>
      <w:bookmarkStart w:id="162" w:name="_Toc478574680"/>
      <w:r/>
      <w:bookmarkStart w:id="163" w:name="_Toc481583256"/>
      <w:r/>
      <w:bookmarkStart w:id="164" w:name="_Toc484190436"/>
      <w:r/>
      <w:bookmarkStart w:id="165" w:name="_Toc484192797"/>
      <w:r/>
      <w:bookmarkStart w:id="166" w:name="_Toc473207502"/>
      <w:r/>
      <w:bookmarkStart w:id="167" w:name="_Toc473207503"/>
      <w:r/>
      <w:bookmarkStart w:id="168" w:name="_Toc473207508"/>
      <w:r/>
      <w:bookmarkStart w:id="169" w:name="_Toc473207509"/>
      <w:r/>
      <w:bookmarkStart w:id="170" w:name="_Toc473207510"/>
      <w:r/>
      <w:bookmarkStart w:id="171" w:name="_Toc473207512"/>
      <w:r/>
      <w:bookmarkStart w:id="172" w:name="_Toc473207513"/>
      <w:r/>
      <w:bookmarkStart w:id="173" w:name="_Toc221869888"/>
      <w:r/>
      <w:bookmarkEnd w:id="158"/>
      <w:r/>
      <w:bookmarkEnd w:id="159"/>
      <w:r/>
      <w:bookmarkEnd w:id="160"/>
      <w:r/>
      <w:bookmarkEnd w:id="161"/>
      <w:r/>
      <w:bookmarkEnd w:id="162"/>
      <w:r/>
      <w:bookmarkEnd w:id="163"/>
      <w:r/>
      <w:bookmarkEnd w:id="164"/>
      <w:r/>
      <w:bookmarkEnd w:id="165"/>
      <w:r/>
      <w:bookmarkEnd w:id="166"/>
      <w:r/>
      <w:bookmarkEnd w:id="167"/>
      <w:r/>
      <w:bookmarkEnd w:id="168"/>
      <w:r/>
      <w:bookmarkEnd w:id="169"/>
      <w:r/>
      <w:bookmarkEnd w:id="170"/>
      <w:r/>
      <w:bookmarkEnd w:id="171"/>
      <w:r/>
      <w:bookmarkEnd w:id="172"/>
      <w:r>
        <w:t xml:space="preserve">Подготовка к работе</w:t>
      </w:r>
      <w:bookmarkEnd w:id="173"/>
      <w:r/>
      <w:r/>
    </w:p>
    <w:p>
      <w:pPr>
        <w:pStyle w:val="1305"/>
      </w:pPr>
      <w:r>
        <w:t xml:space="preserve">Для начала работы в Системе необходимо в установленном порядке зарегистрировать пользователей функционала ППО </w:t>
      </w:r>
      <w:r>
        <w:t xml:space="preserve">Модуля ведения ЛС НСИ ЭБ</w:t>
      </w:r>
      <w:r>
        <w:t xml:space="preserve">. Описание регламента подключения пользователей представлено в подразделе «Подключение к систем</w:t>
      </w:r>
      <w:r>
        <w:t xml:space="preserve">е», перейти в который можно из </w:t>
      </w:r>
      <w:r>
        <w:t xml:space="preserve">раздела Главная – ГИС – Электронный бюджет </w:t>
      </w:r>
      <w:r>
        <w:t xml:space="preserve">(</w:t>
      </w:r>
      <w:hyperlink r:id="rId17" w:tooltip="https://roskazna.gov.ru/gis/ehlektronnyj-byudzhet/podklyuchenie-k-sisteme/" w:history="1">
        <w:r>
          <w:rPr>
            <w:rStyle w:val="1331"/>
          </w:rPr>
          <w:t xml:space="preserve">https://roskazna.</w:t>
        </w:r>
        <w:r>
          <w:rPr>
            <w:rStyle w:val="1331"/>
            <w:lang w:val="en-US"/>
          </w:rPr>
          <w:t xml:space="preserve">gov</w:t>
        </w:r>
        <w:r>
          <w:rPr>
            <w:rStyle w:val="1331"/>
          </w:rPr>
          <w:t xml:space="preserve">.ru/gis/ehlektronnyj-byudzhet/podklyuchenie-k-sisteme/</w:t>
        </w:r>
      </w:hyperlink>
      <w:r>
        <w:t xml:space="preserve">)</w:t>
      </w:r>
      <w:r>
        <w:t xml:space="preserve">.</w:t>
      </w:r>
      <w:r/>
    </w:p>
    <w:p>
      <w:pPr>
        <w:pStyle w:val="1306"/>
      </w:pPr>
      <w:r>
        <w:t xml:space="preserve">Для начала работы с функционалом Системы необходимо выполнить следующую последовательность действий:</w:t>
      </w:r>
      <w:r/>
    </w:p>
    <w:p>
      <w:pPr>
        <w:pStyle w:val="1296"/>
      </w:pPr>
      <w:r>
        <w:t xml:space="preserve">запустить интернет</w:t>
      </w:r>
      <w:r>
        <w:t xml:space="preserve">-</w:t>
      </w:r>
      <w:r>
        <w:t xml:space="preserve">обозреватель двойным нажатием левой кнопки мыши на его ярлыке на рабочем столе или нажать на кнопку «Пуск» и в открывшемся меню выбрать пункт, соответствующий используемому интернет обозревателю;</w:t>
      </w:r>
      <w:r/>
    </w:p>
    <w:p>
      <w:pPr>
        <w:pStyle w:val="1296"/>
      </w:pPr>
      <w:r>
        <w:t xml:space="preserve">в адресной строке интернет обозревателя ввести адрес budget.gov.ru. В результате откроется главная страница единог</w:t>
      </w:r>
      <w:r>
        <w:t xml:space="preserve">о портала бюджетной системы Российской Федерации. Далее необходимо перейти на страницу входа в Личный кабинет пользователя путем нажатия на ссылку «Вход», находящуюся в верхней части главной страницы единого портала бюджетной системы Российской Федерации (</w:t>
      </w:r>
      <w:r>
        <w:t xml:space="preserve">рис.</w:t>
      </w:r>
      <w:r>
        <w:t xml:space="preserve"> </w:t>
      </w:r>
      <w:r>
        <w:fldChar w:fldCharType="begin"/>
      </w:r>
      <w:r>
        <w:instrText xml:space="preserve"> REF _Ref530302093 \h </w:instrText>
      </w:r>
      <w:r>
        <w:instrText xml:space="preserve"> \* MERGEFORMAT </w:instrText>
      </w:r>
      <w:r>
        <w:fldChar w:fldCharType="separate"/>
      </w:r>
      <w:r>
        <w:t xml:space="preserve">1</w:t>
      </w:r>
      <w:r>
        <w:fldChar w:fldCharType="end"/>
      </w:r>
      <w:r>
        <w:t xml:space="preserve">).</w:t>
      </w:r>
      <w:r/>
    </w:p>
    <w:p>
      <w:pPr>
        <w:pStyle w:val="1293"/>
      </w:pPr>
      <w:r>
        <mc:AlternateContent>
          <mc:Choice Requires="wpg">
            <w:drawing>
              <wp:inline xmlns:wp="http://schemas.openxmlformats.org/drawingml/2006/wordprocessingDrawing" distT="0" distB="0" distL="0" distR="0">
                <wp:extent cx="6115050" cy="742950"/>
                <wp:effectExtent l="0" t="0" r="0"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18"/>
                        <a:stretch/>
                      </pic:blipFill>
                      <pic:spPr bwMode="auto">
                        <a:xfrm>
                          <a:off x="0" y="0"/>
                          <a:ext cx="6115050" cy="7429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81.50pt;height:58.50pt;mso-wrap-distance-left:0.00pt;mso-wrap-distance-top:0.00pt;mso-wrap-distance-right:0.00pt;mso-wrap-distance-bottom:0.00pt;" stroked="f">
                <v:path textboxrect="0,0,0,0"/>
                <v:imagedata r:id="rId18" o:title=""/>
              </v:shape>
            </w:pict>
          </mc:Fallback>
        </mc:AlternateContent>
      </w:r>
      <w:bookmarkStart w:id="174" w:name="_Ref473556619"/>
      <w:r/>
      <w:r/>
    </w:p>
    <w:p>
      <w:pPr>
        <w:pStyle w:val="1294"/>
      </w:pPr>
      <w:r/>
      <w:bookmarkStart w:id="175" w:name="_Ref522271267"/>
      <w:r/>
      <w:bookmarkStart w:id="176" w:name="_Toc523326990"/>
      <w:r/>
      <w:bookmarkStart w:id="177" w:name="_Toc523335147"/>
      <w:r>
        <w:fldChar w:fldCharType="begin"/>
      </w:r>
      <w:r>
        <w:instrText xml:space="preserve"> SEQ Рисунок \* ARABIC </w:instrText>
      </w:r>
      <w:r>
        <w:fldChar w:fldCharType="separate"/>
      </w:r>
      <w:bookmarkStart w:id="178" w:name="_Ref530302093"/>
      <w:r/>
      <w:bookmarkStart w:id="179" w:name="_Toc163797815"/>
      <w:r/>
      <w:bookmarkStart w:id="180" w:name="_Toc221869953"/>
      <w:r>
        <w:t xml:space="preserve">1</w:t>
      </w:r>
      <w:bookmarkEnd w:id="178"/>
      <w:r>
        <w:fldChar w:fldCharType="end"/>
      </w:r>
      <w:bookmarkEnd w:id="174"/>
      <w:r/>
      <w:bookmarkEnd w:id="175"/>
      <w:r>
        <w:t xml:space="preserve">. </w:t>
      </w:r>
      <w:r>
        <w:t xml:space="preserve">Вход в личный кабинет системы «Электронный бюджет»</w:t>
      </w:r>
      <w:bookmarkEnd w:id="176"/>
      <w:r/>
      <w:bookmarkEnd w:id="177"/>
      <w:r/>
      <w:bookmarkEnd w:id="179"/>
      <w:r/>
      <w:bookmarkEnd w:id="180"/>
      <w:r/>
      <w:r/>
    </w:p>
    <w:p>
      <w:pPr>
        <w:pStyle w:val="1305"/>
      </w:pPr>
      <w:r>
        <w:t xml:space="preserve">В результате откроется страница, отображающая ссылки входа в различные функциональные направления Системы. Для перехода в функционал для ведения НСИ необходимо выполнить вход в личный кабинет системы «Электронный бюджет» (</w:t>
      </w:r>
      <w:r>
        <w:t xml:space="preserve">рис. </w:t>
      </w:r>
      <w:r>
        <w:fldChar w:fldCharType="begin"/>
      </w:r>
      <w:r>
        <w:instrText xml:space="preserve"> REF _Ref530302158 \h </w:instrText>
      </w:r>
      <w:r>
        <w:instrText xml:space="preserve"> \* MERGEFORMAT </w:instrText>
      </w:r>
      <w:r>
        <w:fldChar w:fldCharType="separate"/>
      </w:r>
      <w:r>
        <w:t xml:space="preserve">2</w:t>
      </w:r>
      <w:r>
        <w:fldChar w:fldCharType="end"/>
      </w:r>
      <w:r>
        <w:t xml:space="preserve">).</w:t>
      </w:r>
      <w:r/>
    </w:p>
    <w:p>
      <w:pPr>
        <w:pStyle w:val="1293"/>
        <w:rPr>
          <w:rFonts w:eastAsia="Calibri"/>
          <w:lang w:val="en-US" w:eastAsia="en-US"/>
        </w:rPr>
      </w:pPr>
      <w:r>
        <mc:AlternateContent>
          <mc:Choice Requires="wpg">
            <w:drawing>
              <wp:inline xmlns:wp="http://schemas.openxmlformats.org/drawingml/2006/wordprocessingDrawing" distT="0" distB="0" distL="0" distR="0">
                <wp:extent cx="5927090" cy="2145030"/>
                <wp:effectExtent l="0" t="0" r="0" b="762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9"/>
                        <a:stretch/>
                      </pic:blipFill>
                      <pic:spPr bwMode="auto">
                        <a:xfrm>
                          <a:off x="0" y="0"/>
                          <a:ext cx="5927090" cy="214503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66.70pt;height:168.90pt;mso-wrap-distance-left:0.00pt;mso-wrap-distance-top:0.00pt;mso-wrap-distance-right:0.00pt;mso-wrap-distance-bottom:0.00pt;" stroked="false">
                <v:path textboxrect="0,0,0,0"/>
                <v:imagedata r:id="rId19" o:title=""/>
              </v:shape>
            </w:pict>
          </mc:Fallback>
        </mc:AlternateContent>
      </w:r>
      <w:r>
        <w:rPr>
          <w:rFonts w:eastAsia="Calibri"/>
          <w:lang w:val="en-US" w:eastAsia="en-US"/>
        </w:rPr>
      </w:r>
    </w:p>
    <w:p>
      <w:pPr>
        <w:pStyle w:val="1294"/>
      </w:pPr>
      <w:r/>
      <w:bookmarkStart w:id="181" w:name="_Ref473556620"/>
      <w:r/>
      <w:bookmarkStart w:id="182" w:name="_Toc523326991"/>
      <w:r/>
      <w:bookmarkStart w:id="183" w:name="_Toc523335148"/>
      <w:r/>
      <w:bookmarkStart w:id="184" w:name="_Ref535603060"/>
      <w:r>
        <w:fldChar w:fldCharType="begin"/>
      </w:r>
      <w:r>
        <w:instrText xml:space="preserve"> SEQ Рисунок \* ARABIC </w:instrText>
      </w:r>
      <w:r>
        <w:fldChar w:fldCharType="separate"/>
      </w:r>
      <w:bookmarkStart w:id="185" w:name="_Ref530302158"/>
      <w:r/>
      <w:bookmarkStart w:id="186" w:name="_Toc163797816"/>
      <w:r/>
      <w:bookmarkStart w:id="187" w:name="_Toc221869954"/>
      <w:r>
        <w:t xml:space="preserve">2</w:t>
      </w:r>
      <w:bookmarkEnd w:id="185"/>
      <w:r>
        <w:fldChar w:fldCharType="end"/>
      </w:r>
      <w:bookmarkEnd w:id="181"/>
      <w:r>
        <w:t xml:space="preserve">.</w:t>
      </w:r>
      <w:r>
        <w:t xml:space="preserve"> </w:t>
      </w:r>
      <w:bookmarkStart w:id="188" w:name="_Ref535603066"/>
      <w:r>
        <w:t xml:space="preserve">Страница входа в Личный кабинет системы Электронный бюджет</w:t>
      </w:r>
      <w:bookmarkEnd w:id="182"/>
      <w:r/>
      <w:bookmarkEnd w:id="183"/>
      <w:r/>
      <w:bookmarkEnd w:id="184"/>
      <w:r/>
      <w:bookmarkEnd w:id="186"/>
      <w:r/>
      <w:bookmarkEnd w:id="187"/>
      <w:r/>
      <w:bookmarkEnd w:id="188"/>
      <w:r/>
      <w:r/>
    </w:p>
    <w:p>
      <w:pPr>
        <w:pStyle w:val="1307"/>
      </w:pPr>
      <w:r>
        <w:rPr>
          <w:b/>
        </w:rPr>
        <w:t xml:space="preserve">Примечание</w:t>
      </w:r>
      <w:r>
        <w:rPr>
          <w:b/>
        </w:rPr>
        <w:t xml:space="preserve">.</w:t>
      </w:r>
      <w:r>
        <w:rPr>
          <w:b/>
        </w:rPr>
        <w:tab/>
      </w:r>
      <w:r>
        <w:t xml:space="preserve">В случае, если пользователь использует устаревшую версию браузера, ссылка «Вход» может быть недоступна. Для продолжения входа в личный каби</w:t>
      </w:r>
      <w:r>
        <w:t xml:space="preserve">нет необходимо перейти по прямой ссылке в сети Интернет: </w:t>
      </w:r>
      <w:hyperlink r:id="rId20" w:tooltip="https://eb.cert.roskazna.ru" w:history="1">
        <w:r>
          <w:rPr>
            <w:rStyle w:val="1331"/>
          </w:rPr>
          <w:t xml:space="preserve">https://eb.cert.roskazna.ru</w:t>
        </w:r>
      </w:hyperlink>
      <w:r>
        <w:t xml:space="preserve">.</w:t>
      </w:r>
      <w:r/>
    </w:p>
    <w:p>
      <w:pPr>
        <w:pStyle w:val="1305"/>
      </w:pPr>
      <w:r>
        <w:t xml:space="preserve">Для входа в систему «Электронный бюджет» требуется идентификация пользователя по личному сертификату (</w:t>
      </w:r>
      <w:r>
        <w:t xml:space="preserve">рис. </w:t>
      </w:r>
      <w:r>
        <w:fldChar w:fldCharType="begin"/>
      </w:r>
      <w:r>
        <w:instrText xml:space="preserve"> REF _Ref530302213 \h </w:instrText>
      </w:r>
      <w:r>
        <w:instrText xml:space="preserve"> \* MERGEFORMAT </w:instrText>
      </w:r>
      <w:r>
        <w:fldChar w:fldCharType="separate"/>
      </w:r>
      <w:r>
        <w:t xml:space="preserve">3</w:t>
      </w:r>
      <w:r>
        <w:fldChar w:fldCharType="end"/>
      </w:r>
      <w:r>
        <w:t xml:space="preserve">)</w:t>
      </w:r>
      <w:r>
        <w:t xml:space="preserve">.</w:t>
      </w:r>
      <w:r/>
    </w:p>
    <w:p>
      <w:pPr>
        <w:pStyle w:val="1293"/>
      </w:pPr>
      <w:r/>
      <w:bookmarkStart w:id="189" w:name="_Ref473556688"/>
      <w:r>
        <mc:AlternateContent>
          <mc:Choice Requires="wpg">
            <w:drawing>
              <wp:inline xmlns:wp="http://schemas.openxmlformats.org/drawingml/2006/wordprocessingDrawing" distT="0" distB="0" distL="0" distR="0">
                <wp:extent cx="3927107" cy="2290813"/>
                <wp:effectExtent l="0" t="0" r="0" b="0"/>
                <wp:docPr id="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список сертификатов.jpg"/>
                        <pic:cNvPicPr>
                          <a:picLocks noChangeAspect="1"/>
                        </pic:cNvPicPr>
                        <pic:nvPr/>
                      </pic:nvPicPr>
                      <pic:blipFill>
                        <a:blip r:embed="rId21"/>
                        <a:stretch/>
                      </pic:blipFill>
                      <pic:spPr bwMode="auto">
                        <a:xfrm>
                          <a:off x="0" y="0"/>
                          <a:ext cx="3927107" cy="229081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309.22pt;height:180.38pt;mso-wrap-distance-left:0.00pt;mso-wrap-distance-top:0.00pt;mso-wrap-distance-right:0.00pt;mso-wrap-distance-bottom:0.00pt;" stroked="false">
                <v:path textboxrect="0,0,0,0"/>
                <v:imagedata r:id="rId21" o:title=""/>
              </v:shape>
            </w:pict>
          </mc:Fallback>
        </mc:AlternateContent>
      </w:r>
      <w:r/>
    </w:p>
    <w:p>
      <w:pPr>
        <w:pStyle w:val="1294"/>
        <w:rPr>
          <w:rFonts w:eastAsia="Calibri"/>
        </w:rPr>
      </w:pPr>
      <w:r/>
      <w:bookmarkStart w:id="190" w:name="_Ref522700726"/>
      <w:r/>
      <w:bookmarkStart w:id="191" w:name="_Toc523326992"/>
      <w:r/>
      <w:bookmarkStart w:id="192" w:name="_Toc523335149"/>
      <w:r>
        <w:fldChar w:fldCharType="begin"/>
      </w:r>
      <w:r>
        <w:instrText xml:space="preserve"> SEQ Рисунок \* ARABIC </w:instrText>
      </w:r>
      <w:r>
        <w:fldChar w:fldCharType="separate"/>
      </w:r>
      <w:bookmarkStart w:id="193" w:name="_Ref530302213"/>
      <w:r/>
      <w:bookmarkStart w:id="194" w:name="_Toc163797817"/>
      <w:r/>
      <w:bookmarkStart w:id="195" w:name="_Toc221869955"/>
      <w:r>
        <w:t xml:space="preserve">3</w:t>
      </w:r>
      <w:bookmarkEnd w:id="193"/>
      <w:r>
        <w:fldChar w:fldCharType="end"/>
      </w:r>
      <w:bookmarkEnd w:id="189"/>
      <w:r/>
      <w:bookmarkEnd w:id="190"/>
      <w:r>
        <w:t xml:space="preserve">. </w:t>
      </w:r>
      <w:r>
        <w:t xml:space="preserve">Диалог выбора сертификата пользователя</w:t>
      </w:r>
      <w:bookmarkEnd w:id="191"/>
      <w:r/>
      <w:bookmarkEnd w:id="192"/>
      <w:r/>
      <w:bookmarkEnd w:id="194"/>
      <w:r/>
      <w:bookmarkEnd w:id="195"/>
      <w:r/>
      <w:r>
        <w:rPr>
          <w:rFonts w:eastAsia="Calibri"/>
        </w:rPr>
      </w:r>
    </w:p>
    <w:p>
      <w:pPr>
        <w:pStyle w:val="1306"/>
      </w:pPr>
      <w:r>
        <w:t xml:space="preserve">Далее откроется главное меню Системы </w:t>
      </w:r>
      <w:r>
        <w:t xml:space="preserve">(рис. </w:t>
      </w:r>
      <w:r>
        <w:fldChar w:fldCharType="begin"/>
      </w:r>
      <w:r>
        <w:instrText xml:space="preserve"> REF _Ref530302317 \h  \* MERGEFORMAT </w:instrText>
      </w:r>
      <w:r>
        <w:fldChar w:fldCharType="separate"/>
      </w:r>
      <w:r>
        <w:t xml:space="preserve">4</w:t>
      </w:r>
      <w:r>
        <w:fldChar w:fldCharType="end"/>
      </w:r>
      <w:r>
        <w:t xml:space="preserve">)</w:t>
      </w:r>
      <w:r>
        <w:t xml:space="preserve">.</w:t>
      </w:r>
      <w:r/>
    </w:p>
    <w:p>
      <w:pPr>
        <w:pStyle w:val="1293"/>
      </w:pPr>
      <w:r>
        <mc:AlternateContent>
          <mc:Choice Requires="wpg">
            <w:drawing>
              <wp:inline xmlns:wp="http://schemas.openxmlformats.org/drawingml/2006/wordprocessingDrawing" distT="0" distB="0" distL="0" distR="0">
                <wp:extent cx="6120130" cy="1993265"/>
                <wp:effectExtent l="0" t="0" r="0" b="0"/>
                <wp:docPr id="4"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2"/>
                        <a:stretch/>
                      </pic:blipFill>
                      <pic:spPr bwMode="auto">
                        <a:xfrm>
                          <a:off x="0" y="0"/>
                          <a:ext cx="6120130" cy="199326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81.90pt;height:156.95pt;mso-wrap-distance-left:0.00pt;mso-wrap-distance-top:0.00pt;mso-wrap-distance-right:0.00pt;mso-wrap-distance-bottom:0.00pt;" stroked="false">
                <v:path textboxrect="0,0,0,0"/>
                <v:imagedata r:id="rId22" o:title=""/>
              </v:shape>
            </w:pict>
          </mc:Fallback>
        </mc:AlternateContent>
      </w:r>
      <w:r/>
    </w:p>
    <w:p>
      <w:pPr>
        <w:pStyle w:val="1294"/>
      </w:pPr>
      <w:r/>
      <w:bookmarkStart w:id="196" w:name="_Toc523326993"/>
      <w:r/>
      <w:bookmarkStart w:id="197" w:name="_Toc523335150"/>
      <w:r>
        <w:fldChar w:fldCharType="begin"/>
      </w:r>
      <w:r>
        <w:instrText xml:space="preserve"> SEQ Рисунок \* ARABIC </w:instrText>
      </w:r>
      <w:r>
        <w:fldChar w:fldCharType="separate"/>
      </w:r>
      <w:bookmarkStart w:id="198" w:name="_Ref530302317"/>
      <w:r/>
      <w:bookmarkStart w:id="199" w:name="_Toc163797818"/>
      <w:r/>
      <w:bookmarkStart w:id="200" w:name="_Toc221869956"/>
      <w:r>
        <w:t xml:space="preserve">4</w:t>
      </w:r>
      <w:bookmarkEnd w:id="198"/>
      <w:r>
        <w:fldChar w:fldCharType="end"/>
      </w:r>
      <w:r>
        <w:t xml:space="preserve">. Главное окно системы «Электронный бюджет»</w:t>
      </w:r>
      <w:bookmarkEnd w:id="196"/>
      <w:r/>
      <w:bookmarkEnd w:id="197"/>
      <w:r/>
      <w:bookmarkEnd w:id="199"/>
      <w:r/>
      <w:bookmarkEnd w:id="200"/>
      <w:r/>
      <w:r/>
    </w:p>
    <w:p>
      <w:pPr>
        <w:pStyle w:val="1282"/>
      </w:pPr>
      <w:r/>
      <w:bookmarkStart w:id="201" w:name="_Toc481076252"/>
      <w:r/>
      <w:bookmarkStart w:id="202" w:name="_Toc481076349"/>
      <w:r/>
      <w:bookmarkStart w:id="203" w:name="_Toc522023509"/>
      <w:r/>
      <w:bookmarkStart w:id="204" w:name="_Toc522101655"/>
      <w:r/>
      <w:bookmarkStart w:id="205" w:name="_Toc522201616"/>
      <w:r/>
      <w:bookmarkStart w:id="206" w:name="_Toc522270609"/>
      <w:r/>
      <w:bookmarkStart w:id="207" w:name="_Toc522280699"/>
      <w:r/>
      <w:bookmarkStart w:id="208" w:name="_Toc522283059"/>
      <w:r/>
      <w:bookmarkStart w:id="209" w:name="_Toc522707512"/>
      <w:r/>
      <w:bookmarkStart w:id="210" w:name="_Toc522708001"/>
      <w:r/>
      <w:bookmarkStart w:id="211" w:name="_Toc522708182"/>
      <w:r/>
      <w:bookmarkStart w:id="212" w:name="_Toc522708455"/>
      <w:r/>
      <w:bookmarkStart w:id="213" w:name="_Ref152103854"/>
      <w:r/>
      <w:bookmarkStart w:id="214" w:name="_Ref152109807"/>
      <w:r/>
      <w:bookmarkStart w:id="215" w:name="_Toc221869889"/>
      <w:r/>
      <w:bookmarkEnd w:id="201"/>
      <w:r/>
      <w:bookmarkEnd w:id="202"/>
      <w:r/>
      <w:bookmarkEnd w:id="203"/>
      <w:r/>
      <w:bookmarkEnd w:id="204"/>
      <w:r/>
      <w:bookmarkEnd w:id="205"/>
      <w:r/>
      <w:bookmarkEnd w:id="206"/>
      <w:r/>
      <w:bookmarkEnd w:id="207"/>
      <w:r/>
      <w:bookmarkEnd w:id="208"/>
      <w:r/>
      <w:bookmarkEnd w:id="209"/>
      <w:r/>
      <w:bookmarkEnd w:id="210"/>
      <w:r/>
      <w:bookmarkEnd w:id="211"/>
      <w:r/>
      <w:bookmarkEnd w:id="212"/>
      <w:r>
        <w:t xml:space="preserve">Ведение справочника «Книга регистрации лицевых счетов»</w:t>
      </w:r>
      <w:bookmarkEnd w:id="213"/>
      <w:r/>
      <w:bookmarkEnd w:id="214"/>
      <w:r/>
      <w:bookmarkEnd w:id="215"/>
      <w:r/>
      <w:r/>
    </w:p>
    <w:p>
      <w:pPr>
        <w:pStyle w:val="1283"/>
      </w:pPr>
      <w:r/>
      <w:bookmarkStart w:id="216" w:name="_Toc163611804"/>
      <w:r/>
      <w:bookmarkStart w:id="217" w:name="_Toc216437508"/>
      <w:r/>
      <w:bookmarkStart w:id="218" w:name="_Toc221869890"/>
      <w:r>
        <w:t xml:space="preserve">Просмотр записей в справочнике «Книга регистрации лицевых счетов»</w:t>
      </w:r>
      <w:bookmarkEnd w:id="216"/>
      <w:r/>
      <w:bookmarkEnd w:id="217"/>
      <w:r/>
      <w:bookmarkEnd w:id="218"/>
      <w:r/>
      <w:r/>
    </w:p>
    <w:p>
      <w:pPr>
        <w:pStyle w:val="1305"/>
      </w:pPr>
      <w:r>
        <w:t xml:space="preserve">Справочник «Книга регистрации лицевых счетов» предназначен для ведения лицевых счетов организаций, открытых в </w:t>
      </w:r>
      <w:r>
        <w:rPr>
          <w:szCs w:val="28"/>
        </w:rPr>
        <w:t xml:space="preserve">органах Федерального казначейства и Финансовых органах</w:t>
      </w:r>
      <w:r>
        <w:t xml:space="preserve">.</w:t>
      </w:r>
      <w:r/>
    </w:p>
    <w:p>
      <w:pPr>
        <w:pStyle w:val="1305"/>
        <w:rPr>
          <w:szCs w:val="24"/>
        </w:rPr>
      </w:pPr>
      <w:r>
        <w:t xml:space="preserve">Изменение справочника «Книга регистрации лицевых счетов» </w:t>
      </w:r>
      <w:r>
        <w:rPr>
          <w:szCs w:val="24"/>
        </w:rPr>
        <w:t xml:space="preserve">осуществляется на основании </w:t>
      </w:r>
      <w:r>
        <w:t xml:space="preserve">документа </w:t>
      </w:r>
      <w:r>
        <w:rPr>
          <w:szCs w:val="24"/>
        </w:rPr>
        <w:t xml:space="preserve">«Заявление на изменение Книги регистрации лицевых счетов».</w:t>
      </w:r>
      <w:r>
        <w:rPr>
          <w:szCs w:val="24"/>
        </w:rPr>
      </w:r>
    </w:p>
    <w:p>
      <w:pPr>
        <w:pStyle w:val="1305"/>
      </w:pPr>
      <w:r>
        <w:t xml:space="preserve">Для просмотра списковой формы справочника в меню пользователя необходимо выбрать: «Подсистема нормативно-справочной информации» – «Справочники, реестры, классификаторы» – «Книга регистрации лицевых счетов» – «Книга регистрации лицевых счетов».</w:t>
      </w:r>
      <w:r/>
    </w:p>
    <w:p>
      <w:pPr>
        <w:pStyle w:val="1284"/>
      </w:pPr>
      <w:r/>
      <w:bookmarkStart w:id="219" w:name="_Toc163611805"/>
      <w:r/>
      <w:bookmarkStart w:id="220" w:name="_Toc216437509"/>
      <w:r/>
      <w:bookmarkStart w:id="221" w:name="_Toc221869891"/>
      <w:r>
        <w:t xml:space="preserve">Списковая форма справочника «Книга регистрации лицевых счетов»</w:t>
      </w:r>
      <w:bookmarkEnd w:id="219"/>
      <w:r/>
      <w:bookmarkEnd w:id="220"/>
      <w:r/>
      <w:bookmarkEnd w:id="221"/>
      <w:r/>
      <w:r/>
    </w:p>
    <w:p>
      <w:pPr>
        <w:pStyle w:val="1305"/>
      </w:pPr>
      <w:r>
        <w:t xml:space="preserve">Реестр записей справочника «Книга регистрации лицевых счетов» представлен в табличной форме с заголовками, списковая форма приведена на рис. </w:t>
      </w:r>
      <w:r>
        <w:fldChar w:fldCharType="begin"/>
      </w:r>
      <w:r>
        <w:instrText xml:space="preserve"> REF _Ref183511925 \h  \* MERGEFORMAT </w:instrText>
      </w:r>
      <w:r>
        <w:fldChar w:fldCharType="separate"/>
      </w:r>
      <w:r>
        <w:t xml:space="preserve">5</w:t>
      </w:r>
      <w:r>
        <w:fldChar w:fldCharType="end"/>
      </w:r>
      <w:r>
        <w:t xml:space="preserve">.</w:t>
      </w:r>
      <w:r/>
    </w:p>
    <w:p>
      <w:pPr>
        <w:pStyle w:val="1293"/>
      </w:pPr>
      <w:r>
        <mc:AlternateContent>
          <mc:Choice Requires="wpg">
            <w:drawing>
              <wp:inline xmlns:wp="http://schemas.openxmlformats.org/drawingml/2006/wordprocessingDrawing" distT="0" distB="0" distL="0" distR="0">
                <wp:extent cx="6120130" cy="4168775"/>
                <wp:effectExtent l="0" t="0" r="0" b="3175"/>
                <wp:docPr id="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3"/>
                        <a:stretch/>
                      </pic:blipFill>
                      <pic:spPr bwMode="auto">
                        <a:xfrm>
                          <a:off x="0" y="0"/>
                          <a:ext cx="6120130" cy="416877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81.90pt;height:328.25pt;mso-wrap-distance-left:0.00pt;mso-wrap-distance-top:0.00pt;mso-wrap-distance-right:0.00pt;mso-wrap-distance-bottom:0.00pt;" stroked="false">
                <v:path textboxrect="0,0,0,0"/>
                <v:imagedata r:id="rId23" o:title=""/>
              </v:shape>
            </w:pict>
          </mc:Fallback>
        </mc:AlternateContent>
      </w:r>
      <w:r/>
    </w:p>
    <w:p>
      <w:pPr>
        <w:pStyle w:val="1294"/>
      </w:pPr>
      <w:r>
        <w:fldChar w:fldCharType="begin"/>
      </w:r>
      <w:r>
        <w:instrText xml:space="preserve"> SEQ Рисунок \* ARABIC </w:instrText>
      </w:r>
      <w:r>
        <w:fldChar w:fldCharType="separate"/>
      </w:r>
      <w:bookmarkStart w:id="222" w:name="_Ref183511925"/>
      <w:r/>
      <w:bookmarkStart w:id="223" w:name="_Toc163611874"/>
      <w:r/>
      <w:bookmarkStart w:id="224" w:name="_Toc216437668"/>
      <w:r/>
      <w:bookmarkStart w:id="225" w:name="_Toc221869957"/>
      <w:r>
        <w:t xml:space="preserve">5</w:t>
      </w:r>
      <w:bookmarkEnd w:id="222"/>
      <w:r>
        <w:fldChar w:fldCharType="end"/>
      </w:r>
      <w:r>
        <w:t xml:space="preserve">. Списковая форма справочник «Книга регистрации лицевых счетов»</w:t>
      </w:r>
      <w:bookmarkEnd w:id="223"/>
      <w:r/>
      <w:bookmarkEnd w:id="224"/>
      <w:r/>
      <w:bookmarkEnd w:id="225"/>
      <w:r/>
      <w:r/>
    </w:p>
    <w:p>
      <w:pPr>
        <w:pStyle w:val="1284"/>
      </w:pPr>
      <w:r/>
      <w:bookmarkStart w:id="226" w:name="_Toc163611806"/>
      <w:r/>
      <w:bookmarkStart w:id="227" w:name="_Ref172504955"/>
      <w:r/>
      <w:bookmarkStart w:id="228" w:name="_Toc216437510"/>
      <w:r/>
      <w:bookmarkStart w:id="229" w:name="_Ref216699429"/>
      <w:r/>
      <w:bookmarkStart w:id="230" w:name="_Toc221869892"/>
      <w:r>
        <w:t xml:space="preserve">Визуальная форма записи справочника «Книга регистрации лицевых счетов»</w:t>
      </w:r>
      <w:bookmarkEnd w:id="226"/>
      <w:r/>
      <w:bookmarkEnd w:id="227"/>
      <w:r/>
      <w:bookmarkEnd w:id="228"/>
      <w:r/>
      <w:bookmarkEnd w:id="229"/>
      <w:r/>
      <w:bookmarkEnd w:id="230"/>
      <w:r/>
      <w:r/>
    </w:p>
    <w:p>
      <w:pPr>
        <w:pStyle w:val="1305"/>
      </w:pPr>
      <w:r>
        <w:t xml:space="preserve">Визуальная фо</w:t>
      </w:r>
      <w:r>
        <w:t xml:space="preserve">рма записи справочника открывается при нажатии на кнопку «Открыть документ на просмотр» или по двойному нажатию по выбранной записи на списковой форме справочника. Визуальная форма записи справочника «Книга регистрации лицевых счетов» представлена на рис. </w:t>
      </w:r>
      <w:r>
        <w:fldChar w:fldCharType="begin"/>
      </w:r>
      <w:r>
        <w:instrText xml:space="preserve"> REF _Ref183511939 \h  \* MERGEFORMAT </w:instrText>
      </w:r>
      <w:r>
        <w:fldChar w:fldCharType="separate"/>
      </w:r>
      <w:r>
        <w:t xml:space="preserve">6</w:t>
      </w:r>
      <w:r>
        <w:fldChar w:fldCharType="end"/>
      </w:r>
      <w:r>
        <w:t xml:space="preserve">, рис. </w:t>
      </w:r>
      <w:r>
        <w:fldChar w:fldCharType="begin"/>
      </w:r>
      <w:r>
        <w:instrText xml:space="preserve"> REF _Ref183511946 \h  \* MERGEFORMAT </w:instrText>
      </w:r>
      <w:r>
        <w:fldChar w:fldCharType="separate"/>
      </w:r>
      <w:r>
        <w:t xml:space="preserve">7</w:t>
      </w:r>
      <w:r>
        <w:fldChar w:fldCharType="end"/>
      </w:r>
      <w:r>
        <w:t xml:space="preserve">, рис. </w:t>
      </w:r>
      <w:r>
        <w:fldChar w:fldCharType="begin"/>
      </w:r>
      <w:r>
        <w:instrText xml:space="preserve"> REF _Ref183511951 \h  \* MERGEFORMAT </w:instrText>
      </w:r>
      <w:r>
        <w:fldChar w:fldCharType="separate"/>
      </w:r>
      <w:r>
        <w:t xml:space="preserve">8</w:t>
      </w:r>
      <w:r>
        <w:fldChar w:fldCharType="end"/>
      </w:r>
      <w:r>
        <w:t xml:space="preserve">.</w:t>
      </w:r>
      <w:r/>
    </w:p>
    <w:p>
      <w:pPr>
        <w:pStyle w:val="1293"/>
      </w:pPr>
      <w:r>
        <mc:AlternateContent>
          <mc:Choice Requires="wpg">
            <w:drawing>
              <wp:inline xmlns:wp="http://schemas.openxmlformats.org/drawingml/2006/wordprocessingDrawing" distT="0" distB="0" distL="0" distR="0">
                <wp:extent cx="6120130" cy="4453255"/>
                <wp:effectExtent l="0" t="0" r="0" b="0"/>
                <wp:docPr id="6"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4"/>
                        <a:stretch/>
                      </pic:blipFill>
                      <pic:spPr bwMode="auto">
                        <a:xfrm>
                          <a:off x="0" y="0"/>
                          <a:ext cx="6120130" cy="445325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81.90pt;height:350.65pt;mso-wrap-distance-left:0.00pt;mso-wrap-distance-top:0.00pt;mso-wrap-distance-right:0.00pt;mso-wrap-distance-bottom:0.00pt;" stroked="false">
                <v:path textboxrect="0,0,0,0"/>
                <v:imagedata r:id="rId24" o:title=""/>
              </v:shape>
            </w:pict>
          </mc:Fallback>
        </mc:AlternateContent>
      </w:r>
      <w:r/>
    </w:p>
    <w:p>
      <w:pPr>
        <w:pStyle w:val="1294"/>
      </w:pPr>
      <w:r>
        <w:fldChar w:fldCharType="begin"/>
      </w:r>
      <w:r>
        <w:instrText xml:space="preserve"> SEQ Рисунок \* ARABIC </w:instrText>
      </w:r>
      <w:r>
        <w:fldChar w:fldCharType="separate"/>
      </w:r>
      <w:bookmarkStart w:id="231" w:name="_Ref183511939"/>
      <w:r/>
      <w:bookmarkStart w:id="232" w:name="_Toc163611875"/>
      <w:r/>
      <w:bookmarkStart w:id="233" w:name="_Toc216437669"/>
      <w:r/>
      <w:bookmarkStart w:id="234" w:name="_Toc221869958"/>
      <w:r>
        <w:t xml:space="preserve">6</w:t>
      </w:r>
      <w:bookmarkEnd w:id="231"/>
      <w:r>
        <w:fldChar w:fldCharType="end"/>
      </w:r>
      <w:r>
        <w:t xml:space="preserve">. Визуальная форма записи справочника «Книга регистрации лицевых счетов» – Вкладка «Основная информация»</w:t>
      </w:r>
      <w:bookmarkEnd w:id="232"/>
      <w:r/>
      <w:bookmarkEnd w:id="233"/>
      <w:r/>
      <w:bookmarkEnd w:id="234"/>
      <w:r/>
      <w:r/>
    </w:p>
    <w:p>
      <w:pPr>
        <w:pStyle w:val="1293"/>
      </w:pPr>
      <w:r>
        <mc:AlternateContent>
          <mc:Choice Requires="wpg">
            <w:drawing>
              <wp:inline xmlns:wp="http://schemas.openxmlformats.org/drawingml/2006/wordprocessingDrawing" distT="0" distB="0" distL="0" distR="0">
                <wp:extent cx="6120130" cy="4733925"/>
                <wp:effectExtent l="0" t="0" r="0" b="0"/>
                <wp:docPr id="7"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5"/>
                        <a:stretch/>
                      </pic:blipFill>
                      <pic:spPr bwMode="auto">
                        <a:xfrm>
                          <a:off x="0" y="0"/>
                          <a:ext cx="6120130" cy="47339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81.90pt;height:372.75pt;mso-wrap-distance-left:0.00pt;mso-wrap-distance-top:0.00pt;mso-wrap-distance-right:0.00pt;mso-wrap-distance-bottom:0.00pt;" stroked="false">
                <v:path textboxrect="0,0,0,0"/>
                <v:imagedata r:id="rId25" o:title=""/>
              </v:shape>
            </w:pict>
          </mc:Fallback>
        </mc:AlternateContent>
      </w:r>
      <w:r/>
    </w:p>
    <w:p>
      <w:pPr>
        <w:pStyle w:val="1294"/>
      </w:pPr>
      <w:r>
        <w:fldChar w:fldCharType="begin"/>
      </w:r>
      <w:r>
        <w:instrText xml:space="preserve"> SEQ Рисунок \* ARABIC </w:instrText>
      </w:r>
      <w:r>
        <w:fldChar w:fldCharType="separate"/>
      </w:r>
      <w:bookmarkStart w:id="235" w:name="_Ref183511946"/>
      <w:r/>
      <w:bookmarkStart w:id="236" w:name="_Toc163611876"/>
      <w:r/>
      <w:bookmarkStart w:id="237" w:name="_Toc216437670"/>
      <w:r/>
      <w:bookmarkStart w:id="238" w:name="_Toc221869959"/>
      <w:r>
        <w:t xml:space="preserve">7</w:t>
      </w:r>
      <w:bookmarkEnd w:id="235"/>
      <w:r>
        <w:fldChar w:fldCharType="end"/>
      </w:r>
      <w:r>
        <w:t xml:space="preserve">. Визуальная форма записи справочника «Книга регистрации лицевых счетов» – Вкладка «Основная информация» продолжение</w:t>
      </w:r>
      <w:bookmarkEnd w:id="236"/>
      <w:r/>
      <w:bookmarkEnd w:id="237"/>
      <w:r/>
      <w:bookmarkEnd w:id="238"/>
      <w:r/>
      <w:r/>
    </w:p>
    <w:p>
      <w:pPr>
        <w:pStyle w:val="1293"/>
      </w:pPr>
      <w:r>
        <mc:AlternateContent>
          <mc:Choice Requires="wpg">
            <w:drawing>
              <wp:inline xmlns:wp="http://schemas.openxmlformats.org/drawingml/2006/wordprocessingDrawing" distT="0" distB="0" distL="0" distR="0">
                <wp:extent cx="4873924" cy="1776014"/>
                <wp:effectExtent l="0" t="0" r="0" b="0"/>
                <wp:docPr id="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6"/>
                        <a:stretch/>
                      </pic:blipFill>
                      <pic:spPr bwMode="auto">
                        <a:xfrm>
                          <a:off x="0" y="0"/>
                          <a:ext cx="4918478" cy="179224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383.77pt;height:139.84pt;mso-wrap-distance-left:0.00pt;mso-wrap-distance-top:0.00pt;mso-wrap-distance-right:0.00pt;mso-wrap-distance-bottom:0.00pt;" stroked="false">
                <v:path textboxrect="0,0,0,0"/>
                <v:imagedata r:id="rId26" o:title=""/>
              </v:shape>
            </w:pict>
          </mc:Fallback>
        </mc:AlternateContent>
      </w:r>
      <w:r/>
    </w:p>
    <w:p>
      <w:pPr>
        <w:pStyle w:val="1294"/>
      </w:pPr>
      <w:r>
        <w:fldChar w:fldCharType="begin"/>
      </w:r>
      <w:r>
        <w:instrText xml:space="preserve"> SEQ Рисунок \* ARABIC </w:instrText>
      </w:r>
      <w:r>
        <w:fldChar w:fldCharType="separate"/>
      </w:r>
      <w:bookmarkStart w:id="239" w:name="_Ref183511951"/>
      <w:r/>
      <w:bookmarkStart w:id="240" w:name="_Toc163611877"/>
      <w:r/>
      <w:bookmarkStart w:id="241" w:name="_Toc216437671"/>
      <w:r/>
      <w:bookmarkStart w:id="242" w:name="_Toc221869960"/>
      <w:r>
        <w:t xml:space="preserve">8</w:t>
      </w:r>
      <w:bookmarkEnd w:id="239"/>
      <w:r>
        <w:fldChar w:fldCharType="end"/>
      </w:r>
      <w:r>
        <w:t xml:space="preserve">. Визуальная форма записи справочника «Книга регистрации лицевых счетов» – Вкладка «Письма ОрФК»</w:t>
      </w:r>
      <w:bookmarkEnd w:id="240"/>
      <w:r/>
      <w:bookmarkEnd w:id="241"/>
      <w:r/>
      <w:bookmarkEnd w:id="242"/>
      <w:r>
        <w:t xml:space="preserve"> </w:t>
      </w:r>
      <w:r/>
    </w:p>
    <w:p>
      <w:pPr>
        <w:pStyle w:val="1284"/>
      </w:pPr>
      <w:r/>
      <w:bookmarkStart w:id="243" w:name="_Toc163611807"/>
      <w:r/>
      <w:bookmarkStart w:id="244" w:name="_Ref172504963"/>
      <w:r/>
      <w:bookmarkStart w:id="245" w:name="_Ref182903426"/>
      <w:r/>
      <w:bookmarkStart w:id="246" w:name="_Ref183510367"/>
      <w:r/>
      <w:bookmarkStart w:id="247" w:name="_Toc216437511"/>
      <w:r/>
      <w:bookmarkStart w:id="248" w:name="_Ref216699437"/>
      <w:r/>
      <w:bookmarkStart w:id="249" w:name="_Ref216708023"/>
      <w:r/>
      <w:bookmarkStart w:id="250" w:name="_Toc221869893"/>
      <w:r>
        <w:t xml:space="preserve">Реквизитный состав записи справочника «Книга регистрации лицевых счетов»</w:t>
      </w:r>
      <w:bookmarkEnd w:id="243"/>
      <w:r/>
      <w:bookmarkEnd w:id="244"/>
      <w:r/>
      <w:bookmarkEnd w:id="245"/>
      <w:r/>
      <w:bookmarkEnd w:id="246"/>
      <w:r/>
      <w:bookmarkEnd w:id="247"/>
      <w:r/>
      <w:bookmarkEnd w:id="248"/>
      <w:r/>
      <w:bookmarkEnd w:id="249"/>
      <w:r/>
      <w:bookmarkEnd w:id="250"/>
      <w:r/>
      <w:r/>
    </w:p>
    <w:p>
      <w:pPr>
        <w:pStyle w:val="1305"/>
      </w:pPr>
      <w:r>
        <w:t xml:space="preserve">Реквизитный состав записи справочника приведен в таблице </w:t>
      </w:r>
      <w:r>
        <w:fldChar w:fldCharType="begin"/>
      </w:r>
      <w:r>
        <w:instrText xml:space="preserve"> REF _Ref183512002 \h  \* MERGEFORMAT </w:instrText>
      </w:r>
      <w:r>
        <w:fldChar w:fldCharType="separate"/>
      </w:r>
      <w:r>
        <w:t xml:space="preserve">4</w:t>
      </w:r>
      <w:r>
        <w:fldChar w:fldCharType="end"/>
      </w:r>
      <w:r>
        <w:t xml:space="preserve">.</w:t>
      </w:r>
      <w:r/>
    </w:p>
    <w:p>
      <w:pPr>
        <w:pStyle w:val="1304"/>
      </w:pPr>
      <w:r>
        <w:fldChar w:fldCharType="begin"/>
      </w:r>
      <w:r>
        <w:instrText xml:space="preserve"> SEQ Таблица \* ARABIC </w:instrText>
      </w:r>
      <w:r>
        <w:fldChar w:fldCharType="separate"/>
      </w:r>
      <w:bookmarkStart w:id="251" w:name="_Ref183512002"/>
      <w:r/>
      <w:bookmarkStart w:id="252" w:name="_Toc163611858"/>
      <w:r/>
      <w:bookmarkStart w:id="253" w:name="_Toc216437635"/>
      <w:r/>
      <w:bookmarkStart w:id="254" w:name="_Toc221869945"/>
      <w:r>
        <w:t xml:space="preserve">4</w:t>
      </w:r>
      <w:bookmarkEnd w:id="251"/>
      <w:r>
        <w:fldChar w:fldCharType="end"/>
      </w:r>
      <w:r>
        <w:t xml:space="preserve">. Реквизитный состав записи справочника «Книга регистрации лицевых счетов»</w:t>
      </w:r>
      <w:bookmarkEnd w:id="252"/>
      <w:r/>
      <w:bookmarkEnd w:id="253"/>
      <w:r/>
      <w:bookmarkEnd w:id="254"/>
      <w:r/>
      <w:r/>
    </w:p>
    <w:tbl>
      <w:tblPr>
        <w:tblStyle w:val="1315"/>
        <w:tblW w:w="5000" w:type="pct"/>
        <w:tblLayout w:type="fixed"/>
        <w:tblLook w:val="00A0" w:firstRow="1" w:lastRow="0" w:firstColumn="1" w:lastColumn="0" w:noHBand="0" w:noVBand="0"/>
      </w:tblPr>
      <w:tblGrid>
        <w:gridCol w:w="1860"/>
        <w:gridCol w:w="998"/>
        <w:gridCol w:w="998"/>
        <w:gridCol w:w="5838"/>
      </w:tblGrid>
      <w:tr>
        <w:tblPrEx/>
        <w:trPr/>
        <w:tc>
          <w:tcPr>
            <w:tcW w:w="959" w:type="pct"/>
            <w:textDirection w:val="lrTb"/>
            <w:noWrap w:val="false"/>
          </w:tcPr>
          <w:p>
            <w:pPr>
              <w:pStyle w:val="1317"/>
              <w:rPr>
                <w:szCs w:val="22"/>
              </w:rPr>
            </w:pPr>
            <w:r>
              <w:rPr>
                <w:szCs w:val="22"/>
              </w:rPr>
              <w:t xml:space="preserve">Наименование</w:t>
            </w:r>
            <w:r>
              <w:rPr>
                <w:szCs w:val="22"/>
              </w:rPr>
            </w:r>
          </w:p>
          <w:p>
            <w:pPr>
              <w:pStyle w:val="1317"/>
              <w:rPr>
                <w:szCs w:val="22"/>
              </w:rPr>
            </w:pPr>
            <w:r>
              <w:rPr>
                <w:szCs w:val="22"/>
              </w:rPr>
              <w:t xml:space="preserve">реквизита</w:t>
            </w:r>
            <w:r>
              <w:rPr>
                <w:szCs w:val="22"/>
              </w:rPr>
            </w:r>
          </w:p>
        </w:tc>
        <w:tc>
          <w:tcPr>
            <w:tcW w:w="515" w:type="pct"/>
            <w:textDirection w:val="lrTb"/>
            <w:noWrap w:val="false"/>
          </w:tcPr>
          <w:p>
            <w:pPr>
              <w:pStyle w:val="1317"/>
              <w:rPr>
                <w:szCs w:val="22"/>
              </w:rPr>
            </w:pPr>
            <w:r>
              <w:rPr>
                <w:szCs w:val="22"/>
              </w:rPr>
              <w:t xml:space="preserve">Обязательность</w:t>
            </w:r>
            <w:r>
              <w:rPr>
                <w:szCs w:val="22"/>
              </w:rPr>
            </w:r>
          </w:p>
        </w:tc>
        <w:tc>
          <w:tcPr>
            <w:tcW w:w="515" w:type="pct"/>
            <w:textDirection w:val="lrTb"/>
            <w:noWrap w:val="false"/>
          </w:tcPr>
          <w:p>
            <w:pPr>
              <w:pStyle w:val="1317"/>
              <w:rPr>
                <w:szCs w:val="22"/>
              </w:rPr>
            </w:pPr>
            <w:r>
              <w:rPr>
                <w:szCs w:val="22"/>
              </w:rPr>
              <w:t xml:space="preserve">Отображение на СФ</w:t>
            </w:r>
            <w:r>
              <w:rPr>
                <w:szCs w:val="22"/>
              </w:rPr>
            </w:r>
          </w:p>
        </w:tc>
        <w:tc>
          <w:tcPr>
            <w:tcW w:w="3011" w:type="pct"/>
            <w:textDirection w:val="lrTb"/>
            <w:noWrap w:val="false"/>
          </w:tcPr>
          <w:p>
            <w:pPr>
              <w:pStyle w:val="1317"/>
              <w:rPr>
                <w:szCs w:val="22"/>
              </w:rPr>
            </w:pPr>
            <w:r>
              <w:rPr>
                <w:szCs w:val="22"/>
              </w:rPr>
              <w:t xml:space="preserve">Правила заполнения</w:t>
            </w:r>
            <w:r>
              <w:rPr>
                <w:szCs w:val="22"/>
              </w:rPr>
            </w:r>
          </w:p>
        </w:tc>
      </w:tr>
      <w:tr>
        <w:tblPrEx/>
        <w:trPr/>
        <w:tc>
          <w:tcPr>
            <w:gridSpan w:val="4"/>
            <w:shd w:val="clear" w:color="auto" w:fill="f2f2f2" w:themeFill="background1" w:themeFillShade="F2"/>
            <w:tcW w:w="5000" w:type="pct"/>
            <w:textDirection w:val="lrTb"/>
            <w:noWrap w:val="false"/>
          </w:tcPr>
          <w:p>
            <w:pPr>
              <w:pStyle w:val="1316"/>
              <w:rPr>
                <w:rStyle w:val="1312"/>
                <w:szCs w:val="22"/>
              </w:rPr>
            </w:pPr>
            <w:r>
              <w:rPr>
                <w:rStyle w:val="1312"/>
                <w:szCs w:val="22"/>
              </w:rPr>
              <w:t xml:space="preserve">Вкладка «Основная информация»</w:t>
            </w:r>
            <w:r>
              <w:rPr>
                <w:rStyle w:val="1312"/>
                <w:szCs w:val="22"/>
              </w:rPr>
            </w:r>
          </w:p>
        </w:tc>
      </w:tr>
      <w:tr>
        <w:tblPrEx/>
        <w:trPr/>
        <w:tc>
          <w:tcPr>
            <w:tcW w:w="959" w:type="pct"/>
            <w:textDirection w:val="lrTb"/>
            <w:noWrap w:val="false"/>
          </w:tcPr>
          <w:p>
            <w:pPr>
              <w:pStyle w:val="1316"/>
              <w:rPr>
                <w:szCs w:val="22"/>
              </w:rPr>
            </w:pPr>
            <w:r>
              <w:rPr>
                <w:szCs w:val="22"/>
              </w:rPr>
              <w:t xml:space="preserve">Номер л/с</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номер лицевого счета.</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Тип л/с</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тип лицевого счета.</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Обслуживается в Фин. органе</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признак обслуживается в ФО (галка установлена – да; галка не установлена – нет).</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Код бюджета</w:t>
            </w:r>
            <w:r>
              <w:rPr>
                <w:szCs w:val="22"/>
              </w:rPr>
            </w:r>
          </w:p>
        </w:tc>
        <w:tc>
          <w:tcPr>
            <w:tcW w:w="515" w:type="pct"/>
            <w:textDirection w:val="lrTb"/>
            <w:noWrap w:val="false"/>
          </w:tcPr>
          <w:p>
            <w:pPr>
              <w:pStyle w:val="1316"/>
              <w:rPr>
                <w:szCs w:val="22"/>
              </w:rPr>
            </w:pPr>
            <w:r>
              <w:rPr>
                <w:szCs w:val="22"/>
              </w:rPr>
              <w:t xml:space="preserve">Да </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код бюджета.</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Тип бюджета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тип бюджета.</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ОКТМО ППО</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3011" w:type="pct"/>
            <w:textDirection w:val="lrTb"/>
            <w:noWrap w:val="false"/>
          </w:tcPr>
          <w:p>
            <w:pPr>
              <w:pStyle w:val="1316"/>
              <w:rPr>
                <w:szCs w:val="22"/>
              </w:rPr>
            </w:pPr>
            <w:r>
              <w:rPr>
                <w:szCs w:val="22"/>
              </w:rPr>
              <w:t xml:space="preserve">Указывается ОКТМО ППО бюджета.</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Наименование бюджета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наименование бюджета.</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Учетный номер</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учетный номер.</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Контрольный разряд</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контрольный разряд.</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Номер клиента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номер клиента.</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rFonts w:ascii="Times New Roman CYR" w:hAnsi="Times New Roman CYR" w:cs="Times New Roman CYR"/>
                <w:szCs w:val="22"/>
              </w:rPr>
            </w:pPr>
            <w:r>
              <w:rPr>
                <w:szCs w:val="22"/>
              </w:rPr>
              <w:t xml:space="preserve">Наименование системы взаимодействия с клиентом</w:t>
            </w:r>
            <w:r>
              <w:rPr>
                <w:rFonts w:ascii="Times New Roman CYR" w:hAnsi="Times New Roman CYR" w:cs="Times New Roman CYR"/>
                <w:szCs w:val="22"/>
              </w:rPr>
            </w:r>
          </w:p>
        </w:tc>
        <w:tc>
          <w:tcPr>
            <w:tcW w:w="515" w:type="pct"/>
            <w:textDirection w:val="lrTb"/>
            <w:noWrap w:val="false"/>
          </w:tcPr>
          <w:p>
            <w:pPr>
              <w:pStyle w:val="1316"/>
              <w:rPr>
                <w:szCs w:val="22"/>
              </w:rPr>
            </w:pPr>
            <w:r>
              <w:rPr>
                <w:szCs w:val="22"/>
              </w:rPr>
              <w:t xml:space="preserve">Нет</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наименование системы взаимодействия с клиентом.</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Код организации по СР</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код организации по Сводному реестру.</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ИНН</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ИНН владельца ЛС.</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КПП</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КПП владельца ЛС.</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ОКПО</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ОКПО владельца ЛС.</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Глав. бух. отсутствует</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признак отсутствия главного бухгалтера в организации владельца ЛС.</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p>
            <w:pPr>
              <w:pStyle w:val="1316"/>
              <w:rPr>
                <w:szCs w:val="22"/>
              </w:rPr>
            </w:pPr>
            <w:r>
              <w:rPr>
                <w:szCs w:val="22"/>
              </w:rPr>
              <w:t xml:space="preserve">Если в организации нет главного бухгалтера, то параметр установлен, принято значение «Да»</w:t>
            </w:r>
            <w:r>
              <w:rPr>
                <w:szCs w:val="22"/>
              </w:rPr>
            </w:r>
          </w:p>
        </w:tc>
      </w:tr>
      <w:tr>
        <w:tblPrEx/>
        <w:trPr/>
        <w:tc>
          <w:tcPr>
            <w:tcW w:w="959" w:type="pct"/>
            <w:textDirection w:val="lrTb"/>
            <w:noWrap w:val="false"/>
          </w:tcPr>
          <w:p>
            <w:pPr>
              <w:pStyle w:val="1316"/>
              <w:rPr>
                <w:szCs w:val="22"/>
              </w:rPr>
            </w:pPr>
            <w:r>
              <w:rPr>
                <w:szCs w:val="22"/>
              </w:rPr>
              <w:t xml:space="preserve">Код по Сводному реестру ПБС принимающего полномочия</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код по Сводному реестру ПБС принимающего полномочия.</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 Реквизит заполняется, если реквизит «Тип лицевого счета» = «05», «10» или «14»</w:t>
            </w:r>
            <w:r>
              <w:rPr>
                <w:szCs w:val="22"/>
              </w:rPr>
            </w:r>
          </w:p>
        </w:tc>
      </w:tr>
      <w:tr>
        <w:tblPrEx/>
        <w:trPr/>
        <w:tc>
          <w:tcPr>
            <w:tcW w:w="959" w:type="pct"/>
            <w:textDirection w:val="lrTb"/>
            <w:noWrap w:val="false"/>
          </w:tcPr>
          <w:p>
            <w:pPr>
              <w:pStyle w:val="1316"/>
              <w:rPr>
                <w:szCs w:val="22"/>
              </w:rPr>
            </w:pPr>
            <w:r>
              <w:rPr>
                <w:szCs w:val="22"/>
              </w:rPr>
              <w:t xml:space="preserve">Наименование ПБС принимающего полномочия</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наименование ПБС принимающего полномочия.</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 Реквизит заполняется, если реквизит «Тип лицевого счета» = «05», «10» или «14»</w:t>
            </w:r>
            <w:r>
              <w:rPr>
                <w:szCs w:val="22"/>
              </w:rPr>
            </w:r>
          </w:p>
        </w:tc>
      </w:tr>
      <w:tr>
        <w:tblPrEx/>
        <w:trPr/>
        <w:tc>
          <w:tcPr>
            <w:tcW w:w="959" w:type="pct"/>
            <w:textDirection w:val="lrTb"/>
            <w:noWrap w:val="false"/>
          </w:tcPr>
          <w:p>
            <w:pPr>
              <w:pStyle w:val="1316"/>
              <w:rPr>
                <w:rFonts w:ascii="Times New Roman CYR" w:hAnsi="Times New Roman CYR" w:cs="Times New Roman CYR"/>
                <w:szCs w:val="22"/>
              </w:rPr>
            </w:pPr>
            <w:r>
              <w:rPr>
                <w:szCs w:val="22"/>
              </w:rPr>
              <w:t xml:space="preserve">Наименование системы взаимодействия с организацией, принимающей полномочия</w:t>
            </w:r>
            <w:r>
              <w:rPr>
                <w:rFonts w:ascii="Times New Roman CYR" w:hAnsi="Times New Roman CYR" w:cs="Times New Roman CYR"/>
                <w:szCs w:val="22"/>
              </w:rPr>
            </w:r>
          </w:p>
        </w:tc>
        <w:tc>
          <w:tcPr>
            <w:tcW w:w="515" w:type="pct"/>
            <w:textDirection w:val="lrTb"/>
            <w:noWrap w:val="false"/>
          </w:tcPr>
          <w:p>
            <w:pPr>
              <w:pStyle w:val="1316"/>
              <w:rPr>
                <w:szCs w:val="22"/>
              </w:rPr>
            </w:pPr>
            <w:r>
              <w:rPr>
                <w:szCs w:val="22"/>
              </w:rPr>
              <w:t xml:space="preserve">Нет</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наименование системы взаимодействия с организацией, принимающей полномочия.</w:t>
            </w:r>
            <w:r>
              <w:rPr>
                <w:szCs w:val="22"/>
              </w:rPr>
            </w:r>
          </w:p>
          <w:p>
            <w:pPr>
              <w:pStyle w:val="1316"/>
              <w:rPr>
                <w:rFonts w:ascii="Times New Roman CYR" w:hAnsi="Times New Roman CYR" w:cs="Times New Roman CYR"/>
                <w:szCs w:val="22"/>
              </w:rPr>
            </w:pPr>
            <w:r>
              <w:rPr>
                <w:szCs w:val="22"/>
              </w:rPr>
              <w:t xml:space="preserve">Заполняется на основании формуляра «Заявление на изменение справочника «Книга регистрации лицевых счетов»». Реквизит заполняется, если реквизит «Тип лицевого счета» = «05», «10» или «14»</w:t>
            </w:r>
            <w:r>
              <w:rPr>
                <w:rFonts w:ascii="Times New Roman CYR" w:hAnsi="Times New Roman CYR" w:cs="Times New Roman CYR"/>
                <w:szCs w:val="22"/>
              </w:rPr>
            </w:r>
          </w:p>
        </w:tc>
      </w:tr>
      <w:tr>
        <w:tblPrEx/>
        <w:trPr/>
        <w:tc>
          <w:tcPr>
            <w:tcW w:w="959" w:type="pct"/>
            <w:textDirection w:val="lrTb"/>
            <w:noWrap w:val="false"/>
          </w:tcPr>
          <w:p>
            <w:pPr>
              <w:pStyle w:val="1316"/>
              <w:rPr>
                <w:szCs w:val="22"/>
              </w:rPr>
            </w:pPr>
            <w:r>
              <w:rPr>
                <w:szCs w:val="22"/>
              </w:rPr>
              <w:t xml:space="preserve">Сокращенное наименование клиента (владельца л/с)</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сокращенное наименование владельца л/с.</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Полное наименование клиента</w:t>
            </w:r>
            <w:r>
              <w:rPr>
                <w:szCs w:val="22"/>
              </w:rPr>
              <w:t xml:space="preserve"> </w:t>
            </w:r>
            <w:r>
              <w:rPr>
                <w:szCs w:val="22"/>
              </w:rPr>
              <w:t xml:space="preserve">(владельца л/с)</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полное наименование владельца л/с.</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Код главы (наименование на СФ: Код главы по БК)</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код главы.</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Наименование </w:t>
            </w:r>
            <w:r>
              <w:rPr>
                <w:szCs w:val="22"/>
              </w:rPr>
              <w:t xml:space="preserve">главы (наименование на СФ: Сокращенное наименование главы по БК)</w:t>
            </w:r>
            <w:r>
              <w:rPr>
                <w:szCs w:val="22"/>
              </w:rPr>
            </w:r>
          </w:p>
        </w:tc>
        <w:tc>
          <w:tcPr>
            <w:tcW w:w="515" w:type="pct"/>
            <w:textDirection w:val="lrTb"/>
            <w:noWrap w:val="false"/>
          </w:tcPr>
          <w:p>
            <w:pPr>
              <w:pStyle w:val="1316"/>
              <w:rPr>
                <w:szCs w:val="22"/>
              </w:rPr>
            </w:pPr>
            <w:r>
              <w:rPr>
                <w:szCs w:val="22"/>
              </w:rPr>
              <w:t xml:space="preserve">Нет </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сокращенное наименование главы.</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Код по ОКТМО по месту нахождения организации</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код ОКТМО по месту нахождения организации.</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Наименование ОКТМО по месту нахождения организации</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3011" w:type="pct"/>
            <w:textDirection w:val="lrTb"/>
            <w:noWrap w:val="false"/>
          </w:tcPr>
          <w:p>
            <w:pPr>
              <w:pStyle w:val="1316"/>
              <w:rPr>
                <w:szCs w:val="22"/>
              </w:rPr>
            </w:pPr>
            <w:r>
              <w:rPr>
                <w:szCs w:val="22"/>
              </w:rPr>
              <w:t xml:space="preserve">Указывается наименование ОКТМО по месту нахождения организации.</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Признак контура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признак контура.</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Контур, в кот. ведутся операции по л/с</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контур, в котором ведутся операции по лицевому счету.</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Схема обслуживания (наименование на СФ: Код схемы обслуживания)</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код схемы обслуживания.</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p>
            <w:pPr>
              <w:pStyle w:val="1316"/>
              <w:rPr>
                <w:szCs w:val="22"/>
              </w:rPr>
            </w:pPr>
            <w:r>
              <w:rPr>
                <w:szCs w:val="22"/>
              </w:rPr>
              <w:t xml:space="preserve">Реквизит заполняется, если реквизит «Тип лицевого счета» = «41»</w:t>
            </w:r>
            <w:r>
              <w:rPr>
                <w:szCs w:val="22"/>
              </w:rPr>
            </w:r>
          </w:p>
        </w:tc>
      </w:tr>
      <w:tr>
        <w:tblPrEx/>
        <w:trPr/>
        <w:tc>
          <w:tcPr>
            <w:tcW w:w="959" w:type="pct"/>
            <w:textDirection w:val="lrTb"/>
            <w:noWrap w:val="false"/>
          </w:tcPr>
          <w:p>
            <w:pPr>
              <w:pStyle w:val="1316"/>
              <w:rPr>
                <w:szCs w:val="22"/>
              </w:rPr>
            </w:pPr>
            <w:r>
              <w:rPr>
                <w:szCs w:val="22"/>
              </w:rPr>
              <w:t xml:space="preserve">Наименование схемы обслуживания</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наименование схемы обслуживания.</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p>
            <w:pPr>
              <w:pStyle w:val="1316"/>
              <w:rPr>
                <w:szCs w:val="22"/>
              </w:rPr>
            </w:pPr>
            <w:r>
              <w:rPr>
                <w:szCs w:val="22"/>
              </w:rPr>
              <w:t xml:space="preserve">Реквизит заполняется, если реквизит «Тип лицевого счета» = «41»</w:t>
            </w:r>
            <w:r>
              <w:rPr>
                <w:szCs w:val="22"/>
              </w:rPr>
            </w:r>
          </w:p>
        </w:tc>
      </w:tr>
      <w:tr>
        <w:tblPrEx/>
        <w:trPr/>
        <w:tc>
          <w:tcPr>
            <w:tcW w:w="959" w:type="pct"/>
            <w:textDirection w:val="lrTb"/>
            <w:noWrap w:val="false"/>
          </w:tcPr>
          <w:p>
            <w:pPr>
              <w:pStyle w:val="1316"/>
              <w:rPr>
                <w:szCs w:val="22"/>
              </w:rPr>
            </w:pPr>
            <w:r>
              <w:rPr>
                <w:szCs w:val="22"/>
              </w:rPr>
              <w:t xml:space="preserve">Код ТОФК/ФО по месту открытия ЛС</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код ТОФК/ФО по месту</w:t>
            </w:r>
            <w:r>
              <w:rPr>
                <w:szCs w:val="22"/>
              </w:rPr>
              <w:t xml:space="preserve"> </w:t>
            </w:r>
            <w:r>
              <w:rPr>
                <w:szCs w:val="22"/>
              </w:rPr>
              <w:t xml:space="preserve">открытия лицевого счета.</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Наименование ТОФК/ФО по месту</w:t>
            </w:r>
            <w:r>
              <w:rPr>
                <w:szCs w:val="22"/>
              </w:rPr>
              <w:t xml:space="preserve"> </w:t>
            </w:r>
            <w:r>
              <w:rPr>
                <w:szCs w:val="22"/>
              </w:rPr>
              <w:t xml:space="preserve">открытия ЛС</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наименование ТОФК/ФО по месту</w:t>
            </w:r>
            <w:r>
              <w:rPr>
                <w:szCs w:val="22"/>
              </w:rPr>
              <w:t xml:space="preserve"> </w:t>
            </w:r>
            <w:r>
              <w:rPr>
                <w:szCs w:val="22"/>
              </w:rPr>
              <w:t xml:space="preserve">открытия лицевого счета.</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Код ТОФК/ФО по месту обслуживания</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код ТОФК/ФО по месту обслуживания лицевого счета.</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Наименование ТОФК/ФО по ме</w:t>
            </w:r>
            <w:r>
              <w:rPr>
                <w:szCs w:val="22"/>
              </w:rPr>
              <w:t xml:space="preserve">сту обслуживания ЛС</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наименование ТОФК/ФО по месту обслуживания лицевого счета.</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Код ТОФК по месту нахождения клиента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код ТОФК по месту нахождения клиента.</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Наименование ТОФК по месту нахождения клиента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наименование ТОФК по месту нахождения клиента.</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Номер казначейского счета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номер казначейского счета.</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p>
            <w:pPr>
              <w:pStyle w:val="1316"/>
              <w:rPr>
                <w:szCs w:val="22"/>
              </w:rPr>
            </w:pPr>
            <w:r>
              <w:rPr>
                <w:szCs w:val="22"/>
              </w:rPr>
              <w:t xml:space="preserve">Реквизит на визуальной форме ЛК Клиента не отображается</w:t>
            </w:r>
            <w:r>
              <w:rPr>
                <w:szCs w:val="22"/>
              </w:rPr>
            </w:r>
          </w:p>
        </w:tc>
      </w:tr>
      <w:tr>
        <w:tblPrEx/>
        <w:trPr/>
        <w:tc>
          <w:tcPr>
            <w:gridSpan w:val="4"/>
            <w:shd w:val="clear" w:color="auto" w:fill="f2f2f2" w:themeFill="background1" w:themeFillShade="F2"/>
            <w:tcW w:w="5000" w:type="pct"/>
            <w:textDirection w:val="lrTb"/>
            <w:noWrap w:val="false"/>
          </w:tcPr>
          <w:p>
            <w:pPr>
              <w:pStyle w:val="1316"/>
              <w:rPr>
                <w:b/>
                <w:szCs w:val="22"/>
              </w:rPr>
            </w:pPr>
            <w:r>
              <w:rPr>
                <w:b/>
                <w:szCs w:val="22"/>
              </w:rPr>
              <w:t xml:space="preserve">Раздел «Основание для открытия / закрытия ЛС»</w:t>
            </w:r>
            <w:r>
              <w:rPr>
                <w:b/>
                <w:szCs w:val="22"/>
              </w:rPr>
            </w:r>
          </w:p>
        </w:tc>
      </w:tr>
      <w:tr>
        <w:tblPrEx/>
        <w:trPr/>
        <w:tc>
          <w:tcPr>
            <w:tcW w:w="959" w:type="pct"/>
            <w:textDirection w:val="lrTb"/>
            <w:noWrap w:val="false"/>
          </w:tcPr>
          <w:p>
            <w:pPr>
              <w:pStyle w:val="1316"/>
              <w:rPr>
                <w:szCs w:val="22"/>
              </w:rPr>
            </w:pPr>
            <w:r>
              <w:rPr>
                <w:szCs w:val="22"/>
              </w:rPr>
              <w:t xml:space="preserve">Наименование документа</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3011" w:type="pct"/>
            <w:textDirection w:val="lrTb"/>
            <w:noWrap w:val="false"/>
          </w:tcPr>
          <w:p>
            <w:pPr>
              <w:pStyle w:val="1316"/>
              <w:rPr>
                <w:szCs w:val="22"/>
              </w:rPr>
            </w:pPr>
            <w:r>
              <w:rPr>
                <w:szCs w:val="22"/>
              </w:rPr>
              <w:t xml:space="preserve">Указывается наименование документа-основания.</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Номер документа</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3011" w:type="pct"/>
            <w:textDirection w:val="lrTb"/>
            <w:noWrap w:val="false"/>
          </w:tcPr>
          <w:p>
            <w:pPr>
              <w:pStyle w:val="1316"/>
              <w:rPr>
                <w:szCs w:val="22"/>
              </w:rPr>
            </w:pPr>
            <w:r>
              <w:rPr>
                <w:szCs w:val="22"/>
              </w:rPr>
              <w:t xml:space="preserve">Указывается номер документа-основания.</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Дата ввода в действие</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3011" w:type="pct"/>
            <w:textDirection w:val="lrTb"/>
            <w:noWrap w:val="false"/>
          </w:tcPr>
          <w:p>
            <w:pPr>
              <w:pStyle w:val="1316"/>
              <w:rPr>
                <w:szCs w:val="22"/>
              </w:rPr>
            </w:pPr>
            <w:r>
              <w:rPr>
                <w:szCs w:val="22"/>
              </w:rPr>
              <w:t xml:space="preserve">Указывается дата ввода в действие.</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pPr>
            <w:r>
              <w:t xml:space="preserve">Ссылка на документ-основание</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Ссылка на документ-основание.</w:t>
            </w:r>
            <w:r/>
          </w:p>
          <w:p>
            <w:pPr>
              <w:pStyle w:val="1316"/>
            </w:pPr>
            <w:r>
              <w:rPr>
                <w:szCs w:val="22"/>
              </w:rPr>
              <w:t xml:space="preserve">Заполняется на основании формуляра «Заявление на изменение справочника «Книга регистрации лицевых счетов»».</w:t>
            </w:r>
            <w:r/>
          </w:p>
          <w:p>
            <w:pPr>
              <w:pStyle w:val="1316"/>
            </w:pPr>
            <w:r>
              <w:t xml:space="preserve">Не заполняется, если реквизит «Тип лицевого счета» ≠ «71»</w:t>
            </w:r>
            <w:r/>
          </w:p>
        </w:tc>
      </w:tr>
      <w:tr>
        <w:tblPrEx/>
        <w:trPr/>
        <w:tc>
          <w:tcPr>
            <w:tcW w:w="959" w:type="pct"/>
            <w:textDirection w:val="lrTb"/>
            <w:noWrap w:val="false"/>
          </w:tcPr>
          <w:p>
            <w:pPr>
              <w:pStyle w:val="1316"/>
              <w:rPr>
                <w:szCs w:val="22"/>
              </w:rPr>
            </w:pPr>
            <w:r>
              <w:rPr>
                <w:szCs w:val="22"/>
              </w:rPr>
              <w:t xml:space="preserve">В связи с</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3011" w:type="pct"/>
            <w:textDirection w:val="lrTb"/>
            <w:noWrap w:val="false"/>
          </w:tcPr>
          <w:p>
            <w:pPr>
              <w:pStyle w:val="1316"/>
              <w:rPr>
                <w:szCs w:val="22"/>
              </w:rPr>
            </w:pPr>
            <w:r>
              <w:rPr>
                <w:szCs w:val="22"/>
              </w:rPr>
              <w:t xml:space="preserve">Указывается причина закрытия лицевого счета.</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p>
            <w:pPr>
              <w:pStyle w:val="1316"/>
              <w:rPr>
                <w:szCs w:val="22"/>
              </w:rPr>
            </w:pPr>
            <w:r>
              <w:rPr>
                <w:szCs w:val="22"/>
              </w:rPr>
              <w:t xml:space="preserve">Реквизит заполняется, если тип заявки «Закрытие»</w:t>
            </w:r>
            <w:r>
              <w:rPr>
                <w:szCs w:val="22"/>
              </w:rPr>
            </w:r>
          </w:p>
        </w:tc>
      </w:tr>
      <w:tr>
        <w:tblPrEx/>
        <w:trPr/>
        <w:tc>
          <w:tcPr>
            <w:gridSpan w:val="4"/>
            <w:shd w:val="clear" w:color="auto" w:fill="f2f2f2" w:themeFill="background1" w:themeFillShade="F2"/>
            <w:tcW w:w="5000" w:type="pct"/>
            <w:textDirection w:val="lrTb"/>
            <w:noWrap w:val="false"/>
          </w:tcPr>
          <w:p>
            <w:pPr>
              <w:pStyle w:val="1316"/>
              <w:rPr>
                <w:b/>
                <w:szCs w:val="22"/>
              </w:rPr>
            </w:pPr>
            <w:r>
              <w:rPr>
                <w:b/>
                <w:szCs w:val="22"/>
              </w:rPr>
              <w:t xml:space="preserve">Раздел «Реквизиты для перечисления средств, поступивших после закрытия лицевого счета»</w:t>
            </w:r>
            <w:r>
              <w:rPr>
                <w:b/>
                <w:szCs w:val="22"/>
              </w:rPr>
            </w:r>
          </w:p>
        </w:tc>
      </w:tr>
      <w:tr>
        <w:tblPrEx/>
        <w:trPr/>
        <w:tc>
          <w:tcPr>
            <w:tcW w:w="959" w:type="pct"/>
            <w:textDirection w:val="lrTb"/>
            <w:noWrap w:val="false"/>
          </w:tcPr>
          <w:p>
            <w:pPr>
              <w:pStyle w:val="1316"/>
              <w:rPr>
                <w:szCs w:val="22"/>
              </w:rPr>
            </w:pPr>
            <w:r>
              <w:rPr>
                <w:szCs w:val="22"/>
              </w:rPr>
              <w:t xml:space="preserve">Номер банковского счета</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3011" w:type="pct"/>
            <w:textDirection w:val="lrTb"/>
            <w:noWrap w:val="false"/>
          </w:tcPr>
          <w:p>
            <w:pPr>
              <w:pStyle w:val="1316"/>
              <w:rPr>
                <w:szCs w:val="22"/>
              </w:rPr>
            </w:pPr>
            <w:r>
              <w:rPr>
                <w:szCs w:val="22"/>
              </w:rPr>
              <w:t xml:space="preserve">Указывается номер банковского счета.</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p>
            <w:pPr>
              <w:pStyle w:val="1316"/>
              <w:rPr>
                <w:szCs w:val="22"/>
              </w:rPr>
            </w:pPr>
            <w:r>
              <w:rPr>
                <w:szCs w:val="22"/>
              </w:rPr>
              <w:t xml:space="preserve">Реквизит заполняется, если тип заявки «Закрытие»</w:t>
            </w:r>
            <w:r>
              <w:rPr>
                <w:szCs w:val="22"/>
              </w:rPr>
            </w:r>
          </w:p>
        </w:tc>
      </w:tr>
      <w:tr>
        <w:tblPrEx/>
        <w:trPr/>
        <w:tc>
          <w:tcPr>
            <w:tcW w:w="959" w:type="pct"/>
            <w:textDirection w:val="lrTb"/>
            <w:noWrap w:val="false"/>
          </w:tcPr>
          <w:p>
            <w:pPr>
              <w:pStyle w:val="1316"/>
              <w:rPr>
                <w:szCs w:val="22"/>
              </w:rPr>
            </w:pPr>
            <w:r>
              <w:rPr>
                <w:szCs w:val="22"/>
              </w:rPr>
              <w:t xml:space="preserve">Наименование банка</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3011" w:type="pct"/>
            <w:textDirection w:val="lrTb"/>
            <w:noWrap w:val="false"/>
          </w:tcPr>
          <w:p>
            <w:pPr>
              <w:pStyle w:val="1316"/>
              <w:rPr>
                <w:szCs w:val="22"/>
              </w:rPr>
            </w:pPr>
            <w:r>
              <w:rPr>
                <w:szCs w:val="22"/>
              </w:rPr>
              <w:t xml:space="preserve">Указывается наименование банка.</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p>
            <w:pPr>
              <w:pStyle w:val="1316"/>
              <w:rPr>
                <w:szCs w:val="22"/>
              </w:rPr>
            </w:pPr>
            <w:r>
              <w:rPr>
                <w:szCs w:val="22"/>
              </w:rPr>
              <w:t xml:space="preserve">Реквизит заполняется, если тип заявки «Закрытие»</w:t>
            </w:r>
            <w:r>
              <w:rPr>
                <w:szCs w:val="22"/>
              </w:rPr>
            </w:r>
          </w:p>
        </w:tc>
      </w:tr>
      <w:tr>
        <w:tblPrEx/>
        <w:trPr/>
        <w:tc>
          <w:tcPr>
            <w:tcW w:w="959" w:type="pct"/>
            <w:textDirection w:val="lrTb"/>
            <w:noWrap w:val="false"/>
          </w:tcPr>
          <w:p>
            <w:pPr>
              <w:pStyle w:val="1316"/>
              <w:rPr>
                <w:szCs w:val="22"/>
              </w:rPr>
            </w:pPr>
            <w:r>
              <w:rPr>
                <w:szCs w:val="22"/>
              </w:rPr>
              <w:t xml:space="preserve">БИК</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3011" w:type="pct"/>
            <w:textDirection w:val="lrTb"/>
            <w:noWrap w:val="false"/>
          </w:tcPr>
          <w:p>
            <w:pPr>
              <w:pStyle w:val="1316"/>
              <w:rPr>
                <w:szCs w:val="22"/>
              </w:rPr>
            </w:pPr>
            <w:r>
              <w:rPr>
                <w:szCs w:val="22"/>
              </w:rPr>
              <w:t xml:space="preserve">Указывается БИК банка.</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p>
            <w:pPr>
              <w:pStyle w:val="1316"/>
              <w:rPr>
                <w:szCs w:val="22"/>
              </w:rPr>
            </w:pPr>
            <w:r>
              <w:rPr>
                <w:szCs w:val="22"/>
              </w:rPr>
              <w:t xml:space="preserve">Реквизит заполняется, если тип заявки «Закрытие»</w:t>
            </w:r>
            <w:r>
              <w:rPr>
                <w:szCs w:val="22"/>
              </w:rPr>
            </w:r>
          </w:p>
        </w:tc>
      </w:tr>
      <w:tr>
        <w:tblPrEx/>
        <w:trPr/>
        <w:tc>
          <w:tcPr>
            <w:tcW w:w="959" w:type="pct"/>
            <w:textDirection w:val="lrTb"/>
            <w:noWrap w:val="false"/>
          </w:tcPr>
          <w:p>
            <w:pPr>
              <w:pStyle w:val="1316"/>
              <w:rPr>
                <w:szCs w:val="22"/>
              </w:rPr>
            </w:pPr>
            <w:r>
              <w:rPr>
                <w:szCs w:val="22"/>
              </w:rPr>
              <w:t xml:space="preserve">Корреспондентский счет</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3011" w:type="pct"/>
            <w:textDirection w:val="lrTb"/>
            <w:noWrap w:val="false"/>
          </w:tcPr>
          <w:p>
            <w:pPr>
              <w:pStyle w:val="1316"/>
              <w:rPr>
                <w:szCs w:val="22"/>
              </w:rPr>
            </w:pPr>
            <w:r>
              <w:rPr>
                <w:szCs w:val="22"/>
              </w:rPr>
              <w:t xml:space="preserve">Указывается корреспондентский счет.</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p>
            <w:pPr>
              <w:pStyle w:val="1316"/>
              <w:rPr>
                <w:szCs w:val="22"/>
              </w:rPr>
            </w:pPr>
            <w:r>
              <w:rPr>
                <w:szCs w:val="22"/>
              </w:rPr>
              <w:t xml:space="preserve">Реквизит заполняется, если тип заявки «Закрытие»</w:t>
            </w:r>
            <w:r>
              <w:rPr>
                <w:szCs w:val="22"/>
              </w:rPr>
            </w:r>
          </w:p>
        </w:tc>
      </w:tr>
      <w:tr>
        <w:tblPrEx/>
        <w:trPr/>
        <w:tc>
          <w:tcPr>
            <w:tcW w:w="959" w:type="pct"/>
            <w:textDirection w:val="lrTb"/>
            <w:noWrap w:val="false"/>
          </w:tcPr>
          <w:p>
            <w:pPr>
              <w:pStyle w:val="1316"/>
              <w:rPr>
                <w:szCs w:val="22"/>
              </w:rPr>
            </w:pPr>
            <w:r>
              <w:rPr>
                <w:szCs w:val="22"/>
              </w:rPr>
              <w:t xml:space="preserve">Номер Лицевого счета правопреемника</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3011" w:type="pct"/>
            <w:textDirection w:val="lrTb"/>
            <w:noWrap w:val="false"/>
          </w:tcPr>
          <w:p>
            <w:pPr>
              <w:pStyle w:val="1316"/>
              <w:rPr>
                <w:szCs w:val="22"/>
              </w:rPr>
            </w:pPr>
            <w:r>
              <w:rPr>
                <w:szCs w:val="22"/>
              </w:rPr>
              <w:t xml:space="preserve">Указывается номер лицевого счета правопреемника.</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p>
            <w:pPr>
              <w:pStyle w:val="1316"/>
              <w:rPr>
                <w:szCs w:val="22"/>
              </w:rPr>
            </w:pPr>
            <w:r>
              <w:rPr>
                <w:szCs w:val="22"/>
              </w:rPr>
              <w:t xml:space="preserve">Реквизит заполняется, если тип заявки «Закрытие»</w:t>
            </w:r>
            <w:r>
              <w:rPr>
                <w:szCs w:val="22"/>
              </w:rPr>
            </w:r>
          </w:p>
        </w:tc>
      </w:tr>
      <w:tr>
        <w:tblPrEx/>
        <w:trPr/>
        <w:tc>
          <w:tcPr>
            <w:gridSpan w:val="4"/>
            <w:shd w:val="clear" w:color="auto" w:fill="f2f2f2" w:themeFill="background1" w:themeFillShade="F2"/>
            <w:tcW w:w="5000" w:type="pct"/>
            <w:textDirection w:val="lrTb"/>
            <w:noWrap w:val="false"/>
          </w:tcPr>
          <w:p>
            <w:pPr>
              <w:pStyle w:val="1316"/>
              <w:rPr>
                <w:rStyle w:val="1312"/>
                <w:szCs w:val="22"/>
              </w:rPr>
            </w:pPr>
            <w:r>
              <w:rPr>
                <w:b/>
                <w:szCs w:val="22"/>
              </w:rPr>
              <w:t xml:space="preserve">Раздел «</w:t>
            </w:r>
            <w:r>
              <w:rPr>
                <w:rStyle w:val="1312"/>
                <w:szCs w:val="22"/>
              </w:rPr>
              <w:t xml:space="preserve">Статус и даты действия»</w:t>
            </w:r>
            <w:r>
              <w:rPr>
                <w:rStyle w:val="1312"/>
                <w:szCs w:val="22"/>
              </w:rPr>
            </w:r>
          </w:p>
        </w:tc>
      </w:tr>
      <w:tr>
        <w:tblPrEx/>
        <w:trPr/>
        <w:tc>
          <w:tcPr>
            <w:tcW w:w="959" w:type="pct"/>
            <w:textDirection w:val="lrTb"/>
            <w:noWrap w:val="false"/>
          </w:tcPr>
          <w:p>
            <w:pPr>
              <w:pStyle w:val="1316"/>
            </w:pPr>
            <w:r>
              <w:t xml:space="preserve">Бизнес статус (наименование на СФ: Бизнес статус записи)</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Да</w:t>
            </w:r>
            <w:r/>
          </w:p>
        </w:tc>
        <w:tc>
          <w:tcPr>
            <w:tcW w:w="3011" w:type="pct"/>
            <w:textDirection w:val="lrTb"/>
            <w:noWrap w:val="false"/>
          </w:tcPr>
          <w:p>
            <w:pPr>
              <w:pStyle w:val="1316"/>
            </w:pPr>
            <w:r>
              <w:t xml:space="preserve">Указывается бизнес статус записи.</w:t>
            </w:r>
            <w:r/>
          </w:p>
          <w:p>
            <w:pPr>
              <w:pStyle w:val="1316"/>
            </w:pPr>
            <w:r>
              <w:t xml:space="preserve">Допустимые значения: </w:t>
            </w:r>
            <w:r/>
          </w:p>
          <w:p>
            <w:pPr>
              <w:pStyle w:val="1316"/>
              <w:numPr>
                <w:ilvl w:val="0"/>
                <w:numId w:val="130"/>
              </w:numPr>
              <w:rPr>
                <w:szCs w:val="22"/>
              </w:rPr>
            </w:pPr>
            <w:r>
              <w:rPr>
                <w:szCs w:val="22"/>
              </w:rPr>
              <w:t xml:space="preserve">«1» – Актуальная;</w:t>
            </w:r>
            <w:r>
              <w:rPr>
                <w:szCs w:val="22"/>
              </w:rPr>
            </w:r>
          </w:p>
          <w:p>
            <w:pPr>
              <w:pStyle w:val="1316"/>
              <w:numPr>
                <w:ilvl w:val="0"/>
                <w:numId w:val="130"/>
              </w:numPr>
              <w:rPr>
                <w:szCs w:val="22"/>
              </w:rPr>
            </w:pPr>
            <w:r>
              <w:rPr>
                <w:szCs w:val="22"/>
              </w:rPr>
              <w:t xml:space="preserve">«2» – Условно исключена;</w:t>
            </w:r>
            <w:r>
              <w:rPr>
                <w:szCs w:val="22"/>
              </w:rPr>
            </w:r>
          </w:p>
          <w:p>
            <w:pPr>
              <w:pStyle w:val="1316"/>
              <w:numPr>
                <w:ilvl w:val="0"/>
                <w:numId w:val="130"/>
              </w:numPr>
              <w:rPr>
                <w:szCs w:val="22"/>
              </w:rPr>
            </w:pPr>
            <w:r>
              <w:rPr>
                <w:szCs w:val="22"/>
              </w:rPr>
              <w:t xml:space="preserve">«3» – Зарезервирован;</w:t>
            </w:r>
            <w:r>
              <w:rPr>
                <w:szCs w:val="22"/>
              </w:rPr>
            </w:r>
          </w:p>
          <w:p>
            <w:pPr>
              <w:pStyle w:val="1316"/>
              <w:numPr>
                <w:ilvl w:val="0"/>
                <w:numId w:val="130"/>
              </w:numPr>
              <w:rPr>
                <w:szCs w:val="22"/>
              </w:rPr>
            </w:pPr>
            <w:r>
              <w:rPr>
                <w:szCs w:val="22"/>
              </w:rPr>
              <w:t xml:space="preserve">«4» – Закрыт;</w:t>
            </w:r>
            <w:r>
              <w:rPr>
                <w:szCs w:val="22"/>
              </w:rPr>
            </w:r>
          </w:p>
          <w:p>
            <w:pPr>
              <w:pStyle w:val="1316"/>
              <w:numPr>
                <w:ilvl w:val="0"/>
                <w:numId w:val="130"/>
              </w:numPr>
            </w:pPr>
            <w:r>
              <w:rPr>
                <w:szCs w:val="22"/>
              </w:rPr>
              <w:t xml:space="preserve">«6» – Условно открыт.</w:t>
            </w:r>
            <w:r/>
          </w:p>
          <w:p>
            <w:pPr>
              <w:pStyle w:val="1316"/>
            </w:pPr>
            <w:r>
              <w:t xml:space="preserve">Заполняется на основании формуляра «Заявление на изменение справочника «Книга регистрации лицевых счетов»</w:t>
            </w:r>
            <w:r/>
          </w:p>
        </w:tc>
      </w:tr>
      <w:tr>
        <w:tblPrEx/>
        <w:trPr/>
        <w:tc>
          <w:tcPr>
            <w:tcW w:w="959" w:type="pct"/>
            <w:textDirection w:val="lrTb"/>
            <w:noWrap w:val="false"/>
          </w:tcPr>
          <w:p>
            <w:pPr>
              <w:pStyle w:val="1316"/>
              <w:rPr>
                <w:szCs w:val="22"/>
              </w:rPr>
            </w:pPr>
            <w:r>
              <w:rPr>
                <w:szCs w:val="22"/>
              </w:rPr>
              <w:t xml:space="preserve">Дата резервирования</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3011" w:type="pct"/>
            <w:textDirection w:val="lrTb"/>
            <w:noWrap w:val="false"/>
          </w:tcPr>
          <w:p>
            <w:pPr>
              <w:pStyle w:val="1316"/>
              <w:rPr>
                <w:szCs w:val="22"/>
              </w:rPr>
            </w:pPr>
            <w:r>
              <w:rPr>
                <w:szCs w:val="22"/>
              </w:rPr>
              <w:t xml:space="preserve">Указывается дата резервирования.</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p>
            <w:pPr>
              <w:pStyle w:val="1316"/>
              <w:rPr>
                <w:szCs w:val="22"/>
              </w:rPr>
            </w:pPr>
            <w:r>
              <w:rPr>
                <w:szCs w:val="22"/>
              </w:rPr>
              <w:t xml:space="preserve">Реквизит заполняется, если реквизит «Тип лицевого счета» = «71» и тип заявки «Резервирование»</w:t>
            </w:r>
            <w:r>
              <w:rPr>
                <w:szCs w:val="22"/>
              </w:rPr>
            </w:r>
          </w:p>
        </w:tc>
      </w:tr>
      <w:tr>
        <w:tblPrEx/>
        <w:trPr/>
        <w:tc>
          <w:tcPr>
            <w:tcW w:w="959" w:type="pct"/>
            <w:textDirection w:val="lrTb"/>
            <w:noWrap w:val="false"/>
          </w:tcPr>
          <w:p>
            <w:pPr>
              <w:pStyle w:val="1316"/>
              <w:rPr>
                <w:szCs w:val="22"/>
              </w:rPr>
            </w:pPr>
            <w:r>
              <w:rPr>
                <w:szCs w:val="22"/>
              </w:rPr>
              <w:t xml:space="preserve">Дата открытия</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дата открытия.</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Дата закрытия</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дата закрытия.</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Дата начала действия записи</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дата начала действия записи.</w:t>
            </w:r>
            <w:r>
              <w:rPr>
                <w:szCs w:val="22"/>
              </w:rPr>
            </w:r>
          </w:p>
          <w:p>
            <w:pPr>
              <w:pStyle w:val="1316"/>
              <w:rPr>
                <w:szCs w:val="22"/>
              </w:rPr>
            </w:pPr>
            <w:r>
              <w:rPr>
                <w:szCs w:val="22"/>
              </w:rPr>
              <w:t xml:space="preserve">Заполняется автоматически системной датой при создании записи в базе данных</w:t>
            </w:r>
            <w:r>
              <w:rPr>
                <w:szCs w:val="22"/>
              </w:rPr>
            </w:r>
          </w:p>
        </w:tc>
      </w:tr>
      <w:tr>
        <w:tblPrEx/>
        <w:trPr/>
        <w:tc>
          <w:tcPr>
            <w:tcW w:w="959" w:type="pct"/>
            <w:textDirection w:val="lrTb"/>
            <w:noWrap w:val="false"/>
          </w:tcPr>
          <w:p>
            <w:pPr>
              <w:pStyle w:val="1316"/>
              <w:rPr>
                <w:szCs w:val="22"/>
              </w:rPr>
            </w:pPr>
            <w:r>
              <w:rPr>
                <w:szCs w:val="22"/>
              </w:rPr>
              <w:t xml:space="preserve">Дата окончания действия записи</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дата окончания действия записи.</w:t>
            </w:r>
            <w:r>
              <w:rPr>
                <w:szCs w:val="22"/>
              </w:rPr>
            </w:r>
          </w:p>
          <w:p>
            <w:pPr>
              <w:pStyle w:val="1316"/>
              <w:rPr>
                <w:szCs w:val="22"/>
              </w:rPr>
            </w:pPr>
            <w:r>
              <w:rPr>
                <w:szCs w:val="22"/>
              </w:rPr>
              <w:t xml:space="preserve">Заполняется автоматически системной датой при переводе записи в архив.</w:t>
            </w:r>
            <w:r>
              <w:rPr>
                <w:szCs w:val="22"/>
              </w:rPr>
            </w:r>
          </w:p>
        </w:tc>
      </w:tr>
      <w:tr>
        <w:tblPrEx/>
        <w:trPr/>
        <w:tc>
          <w:tcPr>
            <w:tcW w:w="959" w:type="pct"/>
            <w:textDirection w:val="lrTb"/>
            <w:noWrap w:val="false"/>
          </w:tcPr>
          <w:p>
            <w:pPr>
              <w:pStyle w:val="1316"/>
            </w:pPr>
            <w:r>
              <w:t xml:space="preserve">Статус записи</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Да</w:t>
            </w:r>
            <w:r/>
          </w:p>
        </w:tc>
        <w:tc>
          <w:tcPr>
            <w:tcW w:w="3011" w:type="pct"/>
            <w:textDirection w:val="lrTb"/>
            <w:noWrap w:val="false"/>
          </w:tcPr>
          <w:p>
            <w:pPr>
              <w:pStyle w:val="1316"/>
            </w:pPr>
            <w:r>
              <w:t xml:space="preserve">Указывается статус записи.</w:t>
            </w:r>
            <w:r/>
          </w:p>
          <w:p>
            <w:pPr>
              <w:pStyle w:val="1316"/>
            </w:pPr>
            <w:r>
              <w:t xml:space="preserve">Допустимые значения: </w:t>
            </w:r>
            <w:r/>
          </w:p>
          <w:p>
            <w:pPr>
              <w:pStyle w:val="1316"/>
              <w:numPr>
                <w:ilvl w:val="0"/>
                <w:numId w:val="130"/>
              </w:numPr>
              <w:rPr>
                <w:szCs w:val="22"/>
              </w:rPr>
            </w:pPr>
            <w:r>
              <w:rPr>
                <w:szCs w:val="22"/>
              </w:rPr>
              <w:t xml:space="preserve">«Актуальная»;</w:t>
            </w:r>
            <w:r>
              <w:rPr>
                <w:szCs w:val="22"/>
              </w:rPr>
            </w:r>
          </w:p>
          <w:p>
            <w:pPr>
              <w:pStyle w:val="1316"/>
              <w:numPr>
                <w:ilvl w:val="0"/>
                <w:numId w:val="130"/>
              </w:numPr>
              <w:rPr>
                <w:szCs w:val="22"/>
              </w:rPr>
            </w:pPr>
            <w:r>
              <w:rPr>
                <w:szCs w:val="22"/>
              </w:rPr>
              <w:t xml:space="preserve">«Условно исключена»;</w:t>
            </w:r>
            <w:r>
              <w:rPr>
                <w:szCs w:val="22"/>
              </w:rPr>
            </w:r>
          </w:p>
          <w:p>
            <w:pPr>
              <w:pStyle w:val="1316"/>
              <w:numPr>
                <w:ilvl w:val="0"/>
                <w:numId w:val="130"/>
              </w:numPr>
              <w:rPr>
                <w:szCs w:val="22"/>
              </w:rPr>
            </w:pPr>
            <w:r>
              <w:rPr>
                <w:szCs w:val="22"/>
              </w:rPr>
              <w:t xml:space="preserve">«Зарезервирован»;</w:t>
            </w:r>
            <w:r>
              <w:rPr>
                <w:szCs w:val="22"/>
              </w:rPr>
            </w:r>
          </w:p>
          <w:p>
            <w:pPr>
              <w:pStyle w:val="1316"/>
              <w:numPr>
                <w:ilvl w:val="0"/>
                <w:numId w:val="130"/>
              </w:numPr>
              <w:rPr>
                <w:szCs w:val="22"/>
              </w:rPr>
            </w:pPr>
            <w:r>
              <w:rPr>
                <w:szCs w:val="22"/>
              </w:rPr>
              <w:t xml:space="preserve">«Закрыт»;</w:t>
            </w:r>
            <w:r>
              <w:rPr>
                <w:szCs w:val="22"/>
              </w:rPr>
            </w:r>
          </w:p>
          <w:p>
            <w:pPr>
              <w:pStyle w:val="1316"/>
              <w:numPr>
                <w:ilvl w:val="0"/>
                <w:numId w:val="130"/>
              </w:numPr>
            </w:pPr>
            <w:r>
              <w:rPr>
                <w:szCs w:val="22"/>
              </w:rPr>
              <w:t xml:space="preserve">«Условно открыт».</w:t>
            </w:r>
            <w:r/>
          </w:p>
          <w:p>
            <w:pPr>
              <w:pStyle w:val="1316"/>
            </w:pPr>
            <w:r>
              <w:t xml:space="preserve">Заполняется на основании формуляра «Заявление на изменение справочника «Книга регистрации лицевых счетов»</w:t>
            </w:r>
            <w:r/>
          </w:p>
        </w:tc>
      </w:tr>
      <w:tr>
        <w:tblPrEx/>
        <w:trPr/>
        <w:tc>
          <w:tcPr>
            <w:gridSpan w:val="4"/>
            <w:shd w:val="clear" w:color="auto" w:fill="f2f2f2" w:themeFill="background1" w:themeFillShade="F2"/>
            <w:tcW w:w="5000" w:type="pct"/>
            <w:textDirection w:val="lrTb"/>
            <w:noWrap w:val="false"/>
          </w:tcPr>
          <w:p>
            <w:pPr>
              <w:pStyle w:val="1316"/>
              <w:rPr>
                <w:rStyle w:val="1312"/>
                <w:szCs w:val="22"/>
              </w:rPr>
            </w:pPr>
            <w:r>
              <w:rPr>
                <w:rStyle w:val="1312"/>
                <w:szCs w:val="22"/>
              </w:rPr>
              <w:t xml:space="preserve">Вкладка «Письма ОрФК»</w:t>
            </w:r>
            <w:r>
              <w:rPr>
                <w:rStyle w:val="1312"/>
                <w:szCs w:val="22"/>
              </w:rPr>
            </w:r>
          </w:p>
        </w:tc>
      </w:tr>
      <w:tr>
        <w:tblPrEx/>
        <w:trPr/>
        <w:tc>
          <w:tcPr>
            <w:tcW w:w="959" w:type="pct"/>
            <w:textDirection w:val="lrTb"/>
            <w:noWrap w:val="false"/>
          </w:tcPr>
          <w:p>
            <w:pPr>
              <w:pStyle w:val="1316"/>
              <w:rPr>
                <w:szCs w:val="22"/>
              </w:rPr>
            </w:pPr>
            <w:r>
              <w:rPr>
                <w:szCs w:val="22"/>
              </w:rPr>
              <w:t xml:space="preserve">Дата письма органа ФК об открытии /переоформлении/ закрытии ЛС</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3011" w:type="pct"/>
            <w:textDirection w:val="lrTb"/>
            <w:noWrap w:val="false"/>
          </w:tcPr>
          <w:p>
            <w:pPr>
              <w:pStyle w:val="1316"/>
              <w:rPr>
                <w:szCs w:val="22"/>
              </w:rPr>
            </w:pPr>
            <w:r>
              <w:rPr>
                <w:szCs w:val="22"/>
              </w:rPr>
              <w:t xml:space="preserve">Указывается дата письма органа ФК.</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p>
            <w:pPr>
              <w:pStyle w:val="1316"/>
              <w:rPr>
                <w:szCs w:val="22"/>
              </w:rPr>
            </w:pPr>
            <w:r>
              <w:rPr>
                <w:szCs w:val="22"/>
              </w:rPr>
              <w:t xml:space="preserve">Заполняется из формуляра «Извещение в ФНС по Лицевому счету» автоматически значением реквизита «Дата извещения»</w:t>
            </w:r>
            <w:r>
              <w:rPr>
                <w:szCs w:val="22"/>
              </w:rPr>
            </w:r>
          </w:p>
        </w:tc>
      </w:tr>
      <w:tr>
        <w:tblPrEx/>
        <w:trPr/>
        <w:tc>
          <w:tcPr>
            <w:tcW w:w="959" w:type="pct"/>
            <w:textDirection w:val="lrTb"/>
            <w:noWrap w:val="false"/>
          </w:tcPr>
          <w:p>
            <w:pPr>
              <w:pStyle w:val="1316"/>
              <w:rPr>
                <w:szCs w:val="22"/>
              </w:rPr>
            </w:pPr>
            <w:r>
              <w:rPr>
                <w:szCs w:val="22"/>
              </w:rPr>
              <w:t xml:space="preserve">Номер письма органа ФК об открытии /переоформлении/ закрытии ЛС</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3011" w:type="pct"/>
            <w:textDirection w:val="lrTb"/>
            <w:noWrap w:val="false"/>
          </w:tcPr>
          <w:p>
            <w:pPr>
              <w:pStyle w:val="1316"/>
              <w:rPr>
                <w:szCs w:val="22"/>
              </w:rPr>
            </w:pPr>
            <w:r>
              <w:rPr>
                <w:szCs w:val="22"/>
              </w:rPr>
              <w:t xml:space="preserve">Указывается номер письма органа ФК.</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p>
            <w:pPr>
              <w:pStyle w:val="1316"/>
              <w:rPr>
                <w:szCs w:val="22"/>
              </w:rPr>
            </w:pPr>
            <w:r>
              <w:rPr>
                <w:szCs w:val="22"/>
              </w:rPr>
              <w:t xml:space="preserve">Заполняется из формуляра «Извещение в ФНС по Лицевому счету» автоматически значением реквизита «Номер извещения»</w:t>
            </w:r>
            <w:r>
              <w:rPr>
                <w:szCs w:val="22"/>
              </w:rPr>
            </w:r>
          </w:p>
        </w:tc>
      </w:tr>
      <w:tr>
        <w:tblPrEx/>
        <w:trPr/>
        <w:tc>
          <w:tcPr>
            <w:tcW w:w="959" w:type="pct"/>
            <w:textDirection w:val="lrTb"/>
            <w:noWrap w:val="false"/>
          </w:tcPr>
          <w:p>
            <w:pPr>
              <w:pStyle w:val="1316"/>
              <w:rPr>
                <w:szCs w:val="22"/>
              </w:rPr>
            </w:pPr>
            <w:r>
              <w:rPr>
                <w:szCs w:val="22"/>
              </w:rPr>
              <w:t xml:space="preserve">Дата письма органа ФК об открытии/ переоформлении /закрытии ЛС для учета операций по переданным полномочиям</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3011" w:type="pct"/>
            <w:textDirection w:val="lrTb"/>
            <w:noWrap w:val="false"/>
          </w:tcPr>
          <w:p>
            <w:pPr>
              <w:pStyle w:val="1316"/>
              <w:rPr>
                <w:szCs w:val="22"/>
              </w:rPr>
            </w:pPr>
            <w:r>
              <w:rPr>
                <w:szCs w:val="22"/>
              </w:rPr>
              <w:t xml:space="preserve">Указывается дата письма органа ФК для учета операций переданным полномочиям.</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Номер письма органа ФК об открытии/переоформлении/закрытии ЛС для учета операций переданным полномочиям</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3011" w:type="pct"/>
            <w:textDirection w:val="lrTb"/>
            <w:noWrap w:val="false"/>
          </w:tcPr>
          <w:p>
            <w:pPr>
              <w:pStyle w:val="1316"/>
              <w:rPr>
                <w:szCs w:val="22"/>
              </w:rPr>
            </w:pPr>
            <w:r>
              <w:rPr>
                <w:szCs w:val="22"/>
              </w:rPr>
              <w:t xml:space="preserve">Указывается номер письма органа ФК для учета операций переданным полномочиям.</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gridSpan w:val="4"/>
            <w:shd w:val="clear" w:color="auto" w:fill="f2f2f2" w:themeFill="background1" w:themeFillShade="F2"/>
            <w:tcW w:w="5000" w:type="pct"/>
            <w:textDirection w:val="lrTb"/>
            <w:noWrap w:val="false"/>
          </w:tcPr>
          <w:p>
            <w:pPr>
              <w:pStyle w:val="1316"/>
              <w:rPr>
                <w:rStyle w:val="1312"/>
                <w:szCs w:val="22"/>
              </w:rPr>
            </w:pPr>
            <w:r>
              <w:rPr>
                <w:rStyle w:val="1312"/>
                <w:szCs w:val="22"/>
              </w:rPr>
              <w:t xml:space="preserve">Дополнительная информация</w:t>
            </w:r>
            <w:r>
              <w:rPr>
                <w:rStyle w:val="1312"/>
                <w:szCs w:val="22"/>
              </w:rPr>
            </w:r>
          </w:p>
          <w:p>
            <w:pPr>
              <w:pStyle w:val="1316"/>
              <w:rPr>
                <w:rStyle w:val="1312"/>
                <w:szCs w:val="22"/>
              </w:rPr>
            </w:pPr>
            <w:r>
              <w:rPr>
                <w:szCs w:val="22"/>
              </w:rPr>
              <w:t xml:space="preserve">Указанный реквизит не отображается на визуальной форме.</w:t>
            </w:r>
            <w:r>
              <w:rPr>
                <w:rStyle w:val="1312"/>
                <w:szCs w:val="22"/>
              </w:rPr>
            </w:r>
          </w:p>
        </w:tc>
      </w:tr>
      <w:tr>
        <w:tblPrEx/>
        <w:trPr/>
        <w:tc>
          <w:tcPr>
            <w:tcW w:w="959" w:type="pct"/>
            <w:textDirection w:val="lrTb"/>
            <w:noWrap w:val="false"/>
          </w:tcPr>
          <w:p>
            <w:pPr>
              <w:pStyle w:val="1316"/>
              <w:rPr>
                <w:szCs w:val="22"/>
              </w:rPr>
            </w:pPr>
            <w:r>
              <w:rPr>
                <w:szCs w:val="22"/>
              </w:rPr>
              <w:t xml:space="preserve">Заявление на открытие ЛС (</w:t>
            </w:r>
            <w:r>
              <w:rPr>
                <w:szCs w:val="22"/>
                <w:lang w:val="en-US"/>
              </w:rPr>
              <w:t xml:space="preserve">GUID</w:t>
            </w:r>
            <w:r>
              <w:rPr>
                <w:szCs w:val="22"/>
              </w:rPr>
              <w:t xml:space="preserve">)</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идентификатор (GUID) Заявления на открытие ЛС.</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p>
            <w:pPr>
              <w:pStyle w:val="1316"/>
              <w:rPr>
                <w:szCs w:val="22"/>
              </w:rPr>
            </w:pPr>
            <w:r>
              <w:rPr>
                <w:szCs w:val="22"/>
              </w:rPr>
              <w:t xml:space="preserve">Реквизит на визуальной форме не отображается</w:t>
            </w:r>
            <w:r>
              <w:rPr>
                <w:szCs w:val="22"/>
              </w:rPr>
            </w:r>
          </w:p>
        </w:tc>
      </w:tr>
      <w:tr>
        <w:tblPrEx/>
        <w:trPr/>
        <w:tc>
          <w:tcPr>
            <w:tcW w:w="959" w:type="pct"/>
            <w:textDirection w:val="lrTb"/>
            <w:noWrap w:val="false"/>
          </w:tcPr>
          <w:p>
            <w:pPr>
              <w:pStyle w:val="1316"/>
              <w:rPr>
                <w:szCs w:val="22"/>
              </w:rPr>
            </w:pPr>
            <w:r>
              <w:rPr>
                <w:szCs w:val="22"/>
              </w:rPr>
              <w:t xml:space="preserve">Номер Заявления на открытие ЛС</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номер Заявления на открытие ЛС.</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p>
            <w:pPr>
              <w:pStyle w:val="1316"/>
              <w:rPr>
                <w:szCs w:val="22"/>
              </w:rPr>
            </w:pPr>
            <w:r>
              <w:rPr>
                <w:szCs w:val="22"/>
              </w:rPr>
              <w:t xml:space="preserve">Реквизит на визуальной форме не отображается</w:t>
            </w:r>
            <w:r>
              <w:rPr>
                <w:szCs w:val="22"/>
              </w:rPr>
            </w:r>
          </w:p>
        </w:tc>
      </w:tr>
      <w:tr>
        <w:tblPrEx/>
        <w:trPr/>
        <w:tc>
          <w:tcPr>
            <w:tcW w:w="959" w:type="pct"/>
            <w:textDirection w:val="lrTb"/>
            <w:noWrap w:val="false"/>
          </w:tcPr>
          <w:p>
            <w:pPr>
              <w:pStyle w:val="1316"/>
              <w:rPr>
                <w:szCs w:val="22"/>
              </w:rPr>
            </w:pPr>
            <w:r>
              <w:rPr>
                <w:szCs w:val="22"/>
              </w:rPr>
              <w:t xml:space="preserve">Заявка на изме</w:t>
            </w:r>
            <w:r>
              <w:rPr>
                <w:szCs w:val="22"/>
              </w:rPr>
              <w:t xml:space="preserve">нение ЛС (</w:t>
            </w:r>
            <w:r>
              <w:rPr>
                <w:szCs w:val="22"/>
                <w:lang w:val="en-US"/>
              </w:rPr>
              <w:t xml:space="preserve">GUID</w:t>
            </w:r>
            <w:r>
              <w:rPr>
                <w:szCs w:val="22"/>
              </w:rPr>
              <w:t xml:space="preserve">)</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идентификатор (GUID) Заявки на изменение </w:t>
            </w:r>
            <w:r>
              <w:rPr>
                <w:szCs w:val="22"/>
              </w:rPr>
              <w:t xml:space="preserve">ЛС.</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p>
            <w:pPr>
              <w:pStyle w:val="1316"/>
              <w:rPr>
                <w:szCs w:val="22"/>
              </w:rPr>
            </w:pPr>
            <w:r>
              <w:rPr>
                <w:szCs w:val="22"/>
              </w:rPr>
              <w:t xml:space="preserve">Реквизит на визуальной форме не отображается</w:t>
            </w:r>
            <w:r>
              <w:rPr>
                <w:szCs w:val="22"/>
              </w:rPr>
            </w:r>
          </w:p>
        </w:tc>
      </w:tr>
      <w:tr>
        <w:tblPrEx/>
        <w:trPr/>
        <w:tc>
          <w:tcPr>
            <w:tcW w:w="959" w:type="pct"/>
            <w:textDirection w:val="lrTb"/>
            <w:noWrap w:val="false"/>
          </w:tcPr>
          <w:p>
            <w:pPr>
              <w:pStyle w:val="1316"/>
              <w:rPr>
                <w:szCs w:val="22"/>
              </w:rPr>
            </w:pPr>
            <w:r>
              <w:rPr>
                <w:szCs w:val="22"/>
              </w:rPr>
              <w:t xml:space="preserve">Номер заявки на изменение ЛС</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номер заявки на изменение ЛС.</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p>
            <w:pPr>
              <w:pStyle w:val="1316"/>
              <w:rPr>
                <w:szCs w:val="22"/>
              </w:rPr>
            </w:pPr>
            <w:r>
              <w:rPr>
                <w:szCs w:val="22"/>
              </w:rPr>
              <w:t xml:space="preserve">Реквизит на визуальной форме не отображается</w:t>
            </w:r>
            <w:r>
              <w:rPr>
                <w:szCs w:val="22"/>
              </w:rPr>
            </w:r>
          </w:p>
        </w:tc>
      </w:tr>
      <w:tr>
        <w:tblPrEx/>
        <w:trPr/>
        <w:tc>
          <w:tcPr>
            <w:tcW w:w="959" w:type="pct"/>
            <w:textDirection w:val="lrTb"/>
            <w:noWrap w:val="false"/>
          </w:tcPr>
          <w:p>
            <w:pPr>
              <w:pStyle w:val="1316"/>
              <w:rPr>
                <w:szCs w:val="22"/>
              </w:rPr>
            </w:pPr>
            <w:r>
              <w:rPr>
                <w:szCs w:val="22"/>
              </w:rPr>
              <w:t xml:space="preserve">Источник изменений</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источник изменений. </w:t>
            </w:r>
            <w:r>
              <w:rPr>
                <w:szCs w:val="22"/>
              </w:rPr>
            </w:r>
          </w:p>
          <w:p>
            <w:pPr>
              <w:pStyle w:val="1316"/>
              <w:rPr>
                <w:szCs w:val="22"/>
              </w:rPr>
            </w:pPr>
            <w:r>
              <w:rPr>
                <w:szCs w:val="22"/>
              </w:rPr>
              <w:t xml:space="preserve">Заполняется автоматически</w:t>
            </w:r>
            <w:r>
              <w:rPr>
                <w:szCs w:val="22"/>
              </w:rPr>
            </w:r>
          </w:p>
        </w:tc>
      </w:tr>
      <w:tr>
        <w:tblPrEx/>
        <w:trPr/>
        <w:tc>
          <w:tcPr>
            <w:tcW w:w="959" w:type="pct"/>
            <w:textDirection w:val="lrTb"/>
            <w:noWrap w:val="false"/>
          </w:tcPr>
          <w:p>
            <w:pPr>
              <w:pStyle w:val="1316"/>
              <w:rPr>
                <w:szCs w:val="22"/>
              </w:rPr>
            </w:pPr>
            <w:r>
              <w:rPr>
                <w:szCs w:val="22"/>
              </w:rPr>
              <w:t xml:space="preserve">Код системы</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515" w:type="pct"/>
            <w:textDirection w:val="lrTb"/>
            <w:noWrap w:val="false"/>
          </w:tcPr>
          <w:p>
            <w:pPr>
              <w:pStyle w:val="1316"/>
              <w:rPr>
                <w:szCs w:val="22"/>
              </w:rPr>
            </w:pPr>
            <w:r>
              <w:rPr>
                <w:szCs w:val="22"/>
              </w:rPr>
              <w:t xml:space="preserve">Да</w:t>
            </w:r>
            <w:r>
              <w:rPr>
                <w:szCs w:val="22"/>
              </w:rPr>
            </w:r>
          </w:p>
        </w:tc>
        <w:tc>
          <w:tcPr>
            <w:tcW w:w="3011" w:type="pct"/>
            <w:textDirection w:val="lrTb"/>
            <w:noWrap w:val="false"/>
          </w:tcPr>
          <w:p>
            <w:pPr>
              <w:pStyle w:val="1316"/>
              <w:rPr>
                <w:szCs w:val="22"/>
              </w:rPr>
            </w:pPr>
            <w:r>
              <w:rPr>
                <w:szCs w:val="22"/>
              </w:rPr>
              <w:t xml:space="preserve">Указывается код системы, ведущей учет операций ЛС.</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p>
            <w:pPr>
              <w:pStyle w:val="1316"/>
              <w:rPr>
                <w:szCs w:val="22"/>
              </w:rPr>
            </w:pPr>
            <w:r>
              <w:rPr>
                <w:szCs w:val="22"/>
              </w:rPr>
              <w:t xml:space="preserve">Реквизит на визуальной форме не отображается</w:t>
            </w:r>
            <w:r>
              <w:rPr>
                <w:szCs w:val="22"/>
              </w:rPr>
            </w:r>
          </w:p>
        </w:tc>
      </w:tr>
      <w:tr>
        <w:tblPrEx/>
        <w:trPr/>
        <w:tc>
          <w:tcPr>
            <w:gridSpan w:val="4"/>
            <w:shd w:val="clear" w:color="auto" w:fill="f2f2f2" w:themeFill="background1" w:themeFillShade="F2"/>
            <w:tcW w:w="5000" w:type="pct"/>
            <w:textDirection w:val="lrTb"/>
            <w:noWrap w:val="false"/>
          </w:tcPr>
          <w:p>
            <w:pPr>
              <w:pStyle w:val="1316"/>
              <w:rPr>
                <w:rStyle w:val="1312"/>
                <w:b w:val="0"/>
                <w:szCs w:val="22"/>
              </w:rPr>
            </w:pPr>
            <w:r>
              <w:rPr>
                <w:rStyle w:val="1312"/>
                <w:szCs w:val="22"/>
              </w:rPr>
              <w:t xml:space="preserve">Вкладка «Сведения об обслуживании лицевого счета»</w:t>
            </w:r>
            <w:r>
              <w:rPr>
                <w:rStyle w:val="1312"/>
                <w:b w:val="0"/>
                <w:szCs w:val="22"/>
              </w:rPr>
            </w:r>
          </w:p>
          <w:p>
            <w:pPr>
              <w:pStyle w:val="1316"/>
              <w:rPr>
                <w:rStyle w:val="1312"/>
                <w:b w:val="0"/>
                <w:szCs w:val="22"/>
              </w:rPr>
            </w:pPr>
            <w:r>
              <w:rPr>
                <w:rStyle w:val="1312"/>
                <w:b w:val="0"/>
                <w:szCs w:val="22"/>
              </w:rPr>
              <w:t xml:space="preserve">Заполняется и отображается на ВФ, в случае формировании записи на основании заявления на перевод клиента в другой ТОФК / ФО для типа л/с «71»</w:t>
            </w:r>
            <w:r>
              <w:rPr>
                <w:rStyle w:val="1312"/>
                <w:b w:val="0"/>
                <w:szCs w:val="22"/>
              </w:rPr>
            </w:r>
          </w:p>
        </w:tc>
      </w:tr>
      <w:tr>
        <w:tblPrEx/>
        <w:trPr/>
        <w:tc>
          <w:tcPr>
            <w:tcW w:w="959" w:type="pct"/>
            <w:textDirection w:val="lrTb"/>
            <w:noWrap w:val="false"/>
          </w:tcPr>
          <w:p>
            <w:pPr>
              <w:pStyle w:val="1316"/>
              <w:rPr>
                <w:szCs w:val="22"/>
              </w:rPr>
            </w:pPr>
            <w:r>
              <w:rPr>
                <w:szCs w:val="22"/>
              </w:rPr>
              <w:t xml:space="preserve">Код ТОФК/ФО</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3011" w:type="pct"/>
            <w:textDirection w:val="lrTb"/>
            <w:noWrap w:val="false"/>
          </w:tcPr>
          <w:p>
            <w:pPr>
              <w:pStyle w:val="1316"/>
              <w:rPr>
                <w:szCs w:val="22"/>
              </w:rPr>
            </w:pPr>
            <w:r>
              <w:rPr>
                <w:szCs w:val="22"/>
              </w:rPr>
              <w:t xml:space="preserve">Указывается код ТОФК/ФО, в котором ранее обслуживался лицевой счет</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Наименование ТОФК / ФО</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3011" w:type="pct"/>
            <w:textDirection w:val="lrTb"/>
            <w:noWrap w:val="false"/>
          </w:tcPr>
          <w:p>
            <w:pPr>
              <w:pStyle w:val="1316"/>
              <w:rPr>
                <w:szCs w:val="22"/>
              </w:rPr>
            </w:pPr>
            <w:r>
              <w:rPr>
                <w:szCs w:val="22"/>
              </w:rPr>
              <w:t xml:space="preserve">Указывается наименование ТОФК/ФО, в котором ранее обслуживался лицевой счет</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Код ТОФК / ФО по СВР</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3011" w:type="pct"/>
            <w:textDirection w:val="lrTb"/>
            <w:noWrap w:val="false"/>
          </w:tcPr>
          <w:p>
            <w:pPr>
              <w:pStyle w:val="1316"/>
              <w:rPr>
                <w:szCs w:val="22"/>
              </w:rPr>
            </w:pPr>
            <w:r>
              <w:rPr>
                <w:szCs w:val="22"/>
              </w:rPr>
              <w:t xml:space="preserve">Указывается код ТОФК/ФО по СВР, в котором ранее обслуживался лицевой счет</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r>
        <w:tblPrEx/>
        <w:trPr/>
        <w:tc>
          <w:tcPr>
            <w:tcW w:w="959" w:type="pct"/>
            <w:textDirection w:val="lrTb"/>
            <w:noWrap w:val="false"/>
          </w:tcPr>
          <w:p>
            <w:pPr>
              <w:pStyle w:val="1316"/>
              <w:rPr>
                <w:szCs w:val="22"/>
              </w:rPr>
            </w:pPr>
            <w:r>
              <w:rPr>
                <w:szCs w:val="22"/>
              </w:rPr>
              <w:t xml:space="preserve">Дата передачи ведения ЛС</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515" w:type="pct"/>
            <w:textDirection w:val="lrTb"/>
            <w:noWrap w:val="false"/>
          </w:tcPr>
          <w:p>
            <w:pPr>
              <w:pStyle w:val="1316"/>
              <w:rPr>
                <w:szCs w:val="22"/>
              </w:rPr>
            </w:pPr>
            <w:r>
              <w:rPr>
                <w:szCs w:val="22"/>
              </w:rPr>
              <w:t xml:space="preserve">Нет</w:t>
            </w:r>
            <w:r>
              <w:rPr>
                <w:szCs w:val="22"/>
              </w:rPr>
            </w:r>
          </w:p>
        </w:tc>
        <w:tc>
          <w:tcPr>
            <w:tcW w:w="3011" w:type="pct"/>
            <w:textDirection w:val="lrTb"/>
            <w:noWrap w:val="false"/>
          </w:tcPr>
          <w:p>
            <w:pPr>
              <w:pStyle w:val="1316"/>
              <w:rPr>
                <w:szCs w:val="22"/>
              </w:rPr>
            </w:pPr>
            <w:r>
              <w:rPr>
                <w:szCs w:val="22"/>
              </w:rPr>
              <w:t xml:space="preserve">Указывается дата передали л/с на обслуживание в другой ТОФК / ФО</w:t>
            </w:r>
            <w:r>
              <w:rPr>
                <w:szCs w:val="22"/>
              </w:rPr>
            </w:r>
          </w:p>
          <w:p>
            <w:pPr>
              <w:pStyle w:val="1316"/>
              <w:rPr>
                <w:szCs w:val="22"/>
              </w:rPr>
            </w:pPr>
            <w:r>
              <w:rPr>
                <w:szCs w:val="22"/>
              </w:rPr>
              <w:t xml:space="preserve">Заполняется на основании формуляра «Заявление на изменение справочника «Книга регистрации лицевых счетов»»</w:t>
            </w:r>
            <w:r>
              <w:rPr>
                <w:szCs w:val="22"/>
              </w:rPr>
            </w:r>
          </w:p>
        </w:tc>
      </w:tr>
    </w:tbl>
    <w:p>
      <w:pPr>
        <w:pStyle w:val="1283"/>
      </w:pPr>
      <w:r/>
      <w:bookmarkStart w:id="255" w:name="_Toc163611808"/>
      <w:r/>
      <w:bookmarkStart w:id="256" w:name="_Ref163806143"/>
      <w:r/>
      <w:bookmarkStart w:id="257" w:name="_Toc216437512"/>
      <w:r/>
      <w:bookmarkStart w:id="258" w:name="_Toc221869894"/>
      <w:r>
        <w:t xml:space="preserve">Просмотр записей формуляра «Заявление на изменение справочника «Книги регистрации лицевых счетов»</w:t>
      </w:r>
      <w:bookmarkEnd w:id="255"/>
      <w:r/>
      <w:bookmarkEnd w:id="256"/>
      <w:r/>
      <w:bookmarkEnd w:id="257"/>
      <w:r/>
      <w:bookmarkEnd w:id="258"/>
      <w:r/>
      <w:r/>
    </w:p>
    <w:p>
      <w:pPr>
        <w:pStyle w:val="1305"/>
      </w:pPr>
      <w:r>
        <w:t xml:space="preserve">Документ «Заявление на изменение справочника «Книга регистрации лицевых счетов»</w:t>
      </w:r>
      <w:r>
        <w:t xml:space="preserve"> (далее – Заявление) предназначен для формирования записей в справочнике «Книга регистрации лицевых счетов» о резервировании, открытии лицевого счета, а также для переоформления / внесения изменений в записи справочника и инициации закрытия лицевого счета.</w:t>
      </w:r>
      <w:r/>
    </w:p>
    <w:p>
      <w:pPr>
        <w:pStyle w:val="1305"/>
      </w:pPr>
      <w:r>
        <w:t xml:space="preserve">Для удобства пользователей списковая форма формуляра «Заявление на изменение справочника «Книга регистрации лицевых счетов» разделена на три списковых формы: «Открыть лицевой счет»; «Согласование заявок»; «Утверждение заявок».</w:t>
      </w:r>
      <w:r/>
    </w:p>
    <w:p>
      <w:pPr>
        <w:pStyle w:val="1305"/>
      </w:pPr>
      <w:r>
        <w:t xml:space="preserve">Для просмотра списковой формы формуляра по заявлениям об изменении информации о лицевых счетах организации, ожидающих согласование в меню пользовате</w:t>
      </w:r>
      <w:r>
        <w:t xml:space="preserve">ля необходимо выбрать: «Подсистема нормативно-справочной информации» – «Ведение справочников, реестров, классификаторов» – «Книга регистрации лицевых счетов» – «Заявление на изменение справочника «Книги регистрации лицевых счетов» / «Открыть лицевой счет».</w:t>
      </w:r>
      <w:r/>
    </w:p>
    <w:p>
      <w:pPr>
        <w:pStyle w:val="1305"/>
      </w:pPr>
      <w:r>
        <w:t xml:space="preserve">Для просмотра списковой формы формуляра по всем заявлениям об изменении информац</w:t>
      </w:r>
      <w:r>
        <w:t xml:space="preserve">ии о лицевых счетах организации, ожидающих согласование, в меню пользователя необходимо выбрать: «Подсистема нормативно-справочной информации» – «Ведение справочников, реестров, классификаторов» – «Книга регистрации лицевых счетов» – «Согласование заявок».</w:t>
      </w:r>
      <w:r/>
    </w:p>
    <w:p>
      <w:pPr>
        <w:pStyle w:val="1305"/>
      </w:pPr>
      <w:r>
        <w:t xml:space="preserve">Для просмотра списковой формы формуляра по всем заявлениям об изменении информ</w:t>
      </w:r>
      <w:r>
        <w:t xml:space="preserve">ации о лицевых счетах организации, ожидающих утверждение, в меню пользователя необходимо выбрать: «Подсистема нормативно-справочной информации» – «Ведение справочников, реестров, классификаторов» – «Книга регистрации лицевых счетов» – «Утверждение заявок».</w:t>
      </w:r>
      <w:r/>
    </w:p>
    <w:p>
      <w:pPr>
        <w:pStyle w:val="1307"/>
      </w:pPr>
      <w:r>
        <w:rPr>
          <w:rStyle w:val="1312"/>
        </w:rPr>
        <w:t xml:space="preserve">Примечание.</w:t>
      </w:r>
      <w:r>
        <w:tab/>
        <w:t xml:space="preserve">Дата утверждения Зая</w:t>
      </w:r>
      <w:r>
        <w:t xml:space="preserve">вления ЛС в НСИ ЭБ – это дата, с которой начинают действовать изменения в справочнике «Книга регистрации лицевых счетов» и изменения вносятся непосредственно перед тем, когда изменения должны начать действовать (путем формирования и утверждения заявления).</w:t>
      </w:r>
      <w:r/>
    </w:p>
    <w:p>
      <w:pPr>
        <w:pStyle w:val="1284"/>
      </w:pPr>
      <w:r/>
      <w:bookmarkStart w:id="259" w:name="_Toc163611809"/>
      <w:r/>
      <w:bookmarkStart w:id="260" w:name="_Toc216437513"/>
      <w:r/>
      <w:bookmarkStart w:id="261" w:name="_Toc221869895"/>
      <w:r>
        <w:t xml:space="preserve">Списковая форма формуляра «Заявление на изменение справочника «Книги регистрации лицевых счетов»</w:t>
      </w:r>
      <w:bookmarkEnd w:id="259"/>
      <w:r/>
      <w:bookmarkEnd w:id="260"/>
      <w:r/>
      <w:bookmarkEnd w:id="261"/>
      <w:r/>
      <w:r/>
    </w:p>
    <w:p>
      <w:pPr>
        <w:pStyle w:val="1305"/>
      </w:pPr>
      <w:r>
        <w:t xml:space="preserve">Реестр записей формуляра «Заявление на изменение справочника «Книги регистрации лицевых счетов» представлен в табличной форме с заголовками, списковая форма приведена на рис. </w:t>
      </w:r>
      <w:r>
        <w:fldChar w:fldCharType="begin"/>
      </w:r>
      <w:r>
        <w:instrText xml:space="preserve"> REF _Ref183512191 \h  \* MERGEFORMAT </w:instrText>
      </w:r>
      <w:r>
        <w:fldChar w:fldCharType="separate"/>
      </w:r>
      <w:r>
        <w:t xml:space="preserve">9</w:t>
      </w:r>
      <w:r>
        <w:fldChar w:fldCharType="end"/>
      </w:r>
      <w:r>
        <w:t xml:space="preserve">.</w:t>
      </w:r>
      <w:r/>
    </w:p>
    <w:p>
      <w:pPr>
        <w:pStyle w:val="1293"/>
      </w:pPr>
      <w:r>
        <mc:AlternateContent>
          <mc:Choice Requires="wpg">
            <w:drawing>
              <wp:inline xmlns:wp="http://schemas.openxmlformats.org/drawingml/2006/wordprocessingDrawing" distT="0" distB="0" distL="0" distR="0">
                <wp:extent cx="6120130" cy="1147445"/>
                <wp:effectExtent l="0" t="0" r="0" b="0"/>
                <wp:docPr id="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7"/>
                        <a:stretch/>
                      </pic:blipFill>
                      <pic:spPr bwMode="auto">
                        <a:xfrm>
                          <a:off x="0" y="0"/>
                          <a:ext cx="6120130" cy="11474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481.90pt;height:90.35pt;mso-wrap-distance-left:0.00pt;mso-wrap-distance-top:0.00pt;mso-wrap-distance-right:0.00pt;mso-wrap-distance-bottom:0.00pt;" stroked="false">
                <v:path textboxrect="0,0,0,0"/>
                <v:imagedata r:id="rId27" o:title=""/>
              </v:shape>
            </w:pict>
          </mc:Fallback>
        </mc:AlternateContent>
      </w:r>
      <w:r/>
    </w:p>
    <w:p>
      <w:pPr>
        <w:pStyle w:val="1294"/>
      </w:pPr>
      <w:r>
        <w:fldChar w:fldCharType="begin"/>
      </w:r>
      <w:r>
        <w:instrText xml:space="preserve"> SEQ Рисунок \* ARABIC </w:instrText>
      </w:r>
      <w:r>
        <w:fldChar w:fldCharType="separate"/>
      </w:r>
      <w:bookmarkStart w:id="262" w:name="_Ref183512191"/>
      <w:r/>
      <w:bookmarkStart w:id="263" w:name="_Toc163611878"/>
      <w:r/>
      <w:bookmarkStart w:id="264" w:name="_Toc216437672"/>
      <w:r/>
      <w:bookmarkStart w:id="265" w:name="_Toc221869961"/>
      <w:r>
        <w:t xml:space="preserve">9</w:t>
      </w:r>
      <w:bookmarkEnd w:id="262"/>
      <w:r>
        <w:fldChar w:fldCharType="end"/>
      </w:r>
      <w:r>
        <w:t xml:space="preserve">. Списковая форма формуляра «Заявление на изменение справочника «Книги регистрации лицевых счетов»</w:t>
      </w:r>
      <w:bookmarkEnd w:id="263"/>
      <w:r/>
      <w:bookmarkEnd w:id="264"/>
      <w:r/>
      <w:bookmarkEnd w:id="265"/>
      <w:r/>
      <w:r/>
    </w:p>
    <w:p>
      <w:pPr>
        <w:pStyle w:val="1284"/>
      </w:pPr>
      <w:r/>
      <w:bookmarkStart w:id="266" w:name="_Toc163611810"/>
      <w:r/>
      <w:bookmarkStart w:id="267" w:name="_Toc216437514"/>
      <w:r/>
      <w:bookmarkStart w:id="268" w:name="_Toc221869896"/>
      <w:r>
        <w:t xml:space="preserve">Визуальная форма записи формуляра «Заявление на изменение справочника «Книги регистрации лицевых счетов»</w:t>
      </w:r>
      <w:bookmarkEnd w:id="266"/>
      <w:r/>
      <w:bookmarkEnd w:id="267"/>
      <w:r/>
      <w:bookmarkEnd w:id="268"/>
      <w:r/>
      <w:r/>
    </w:p>
    <w:p>
      <w:pPr>
        <w:pStyle w:val="1305"/>
      </w:pPr>
      <w:r>
        <w:t xml:space="preserve">Визуальная форма записи </w:t>
      </w:r>
      <w:bookmarkStart w:id="269" w:name="_Hlk183014436"/>
      <w:r>
        <w:t xml:space="preserve">формуляра </w:t>
      </w:r>
      <w:bookmarkEnd w:id="269"/>
      <w:r>
        <w:t xml:space="preserve">открывает</w:t>
      </w:r>
      <w:r>
        <w:t xml:space="preserve">ся при нажатии на кнопку «Открыть документ на просмотр» или по двойному нажатию по выбранной записи на списковой форме формуляра. Визуальная форма записи формуляра «Заявление на изменение справочника «Книги регистрации лицевых счетов» представлена на рис. </w:t>
      </w:r>
      <w:r>
        <w:fldChar w:fldCharType="begin"/>
      </w:r>
      <w:r>
        <w:instrText xml:space="preserve"> REF _Ref183512203 \h  \* MERGEFORMAT </w:instrText>
      </w:r>
      <w:r>
        <w:fldChar w:fldCharType="separate"/>
      </w:r>
      <w:r>
        <w:t xml:space="preserve">10</w:t>
      </w:r>
      <w:r>
        <w:fldChar w:fldCharType="end"/>
      </w:r>
      <w:r>
        <w:t xml:space="preserve">, рис. </w:t>
      </w:r>
      <w:r>
        <w:fldChar w:fldCharType="begin"/>
      </w:r>
      <w:r>
        <w:instrText xml:space="preserve"> REF _Ref183512207 \h  \* MERGEFORMAT </w:instrText>
      </w:r>
      <w:r>
        <w:fldChar w:fldCharType="separate"/>
      </w:r>
      <w:r>
        <w:t xml:space="preserve">11</w:t>
      </w:r>
      <w:r>
        <w:fldChar w:fldCharType="end"/>
      </w:r>
      <w:r>
        <w:t xml:space="preserve">, рис. </w:t>
      </w:r>
      <w:r>
        <w:fldChar w:fldCharType="begin"/>
      </w:r>
      <w:r>
        <w:instrText xml:space="preserve"> REF _Ref183512214 \h  \* MERGEFORMAT </w:instrText>
      </w:r>
      <w:r>
        <w:fldChar w:fldCharType="separate"/>
      </w:r>
      <w:r>
        <w:t xml:space="preserve">12</w:t>
      </w:r>
      <w:r>
        <w:fldChar w:fldCharType="end"/>
      </w:r>
      <w:r>
        <w:t xml:space="preserve">, рис. </w:t>
      </w:r>
      <w:r>
        <w:fldChar w:fldCharType="begin"/>
      </w:r>
      <w:r>
        <w:instrText xml:space="preserve"> REF _Ref183512221 \h  \* MERGEFORMAT </w:instrText>
      </w:r>
      <w:r>
        <w:fldChar w:fldCharType="separate"/>
      </w:r>
      <w:r>
        <w:t xml:space="preserve">13</w:t>
      </w:r>
      <w:r>
        <w:fldChar w:fldCharType="end"/>
      </w:r>
      <w:r>
        <w:t xml:space="preserve">, рис.</w:t>
      </w:r>
      <w:r>
        <w:t xml:space="preserve"> </w:t>
      </w:r>
      <w:r>
        <w:fldChar w:fldCharType="begin"/>
      </w:r>
      <w:r>
        <w:instrText xml:space="preserve"> REF _Ref183512227 \h  \* MERGEFORMAT </w:instrText>
      </w:r>
      <w:r>
        <w:fldChar w:fldCharType="separate"/>
      </w:r>
      <w:r>
        <w:t xml:space="preserve">14</w:t>
      </w:r>
      <w:r>
        <w:fldChar w:fldCharType="end"/>
      </w:r>
      <w:r>
        <w:t xml:space="preserve">.</w:t>
      </w:r>
      <w:r/>
    </w:p>
    <w:p>
      <w:pPr>
        <w:pStyle w:val="1293"/>
      </w:pPr>
      <w:r>
        <mc:AlternateContent>
          <mc:Choice Requires="wpg">
            <w:drawing>
              <wp:inline xmlns:wp="http://schemas.openxmlformats.org/drawingml/2006/wordprocessingDrawing" distT="0" distB="0" distL="0" distR="0">
                <wp:extent cx="6120130" cy="5169535"/>
                <wp:effectExtent l="0" t="0" r="0" b="0"/>
                <wp:docPr id="10"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8"/>
                        <a:stretch/>
                      </pic:blipFill>
                      <pic:spPr bwMode="auto">
                        <a:xfrm>
                          <a:off x="0" y="0"/>
                          <a:ext cx="6120130" cy="516953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81.90pt;height:407.05pt;mso-wrap-distance-left:0.00pt;mso-wrap-distance-top:0.00pt;mso-wrap-distance-right:0.00pt;mso-wrap-distance-bottom:0.00pt;" stroked="false">
                <v:path textboxrect="0,0,0,0"/>
                <v:imagedata r:id="rId28" o:title=""/>
              </v:shape>
            </w:pict>
          </mc:Fallback>
        </mc:AlternateContent>
      </w:r>
      <w:r/>
    </w:p>
    <w:p>
      <w:pPr>
        <w:pStyle w:val="1294"/>
      </w:pPr>
      <w:r>
        <w:fldChar w:fldCharType="begin"/>
      </w:r>
      <w:r>
        <w:instrText xml:space="preserve"> SEQ Рисунок \* ARABIC </w:instrText>
      </w:r>
      <w:r>
        <w:fldChar w:fldCharType="separate"/>
      </w:r>
      <w:bookmarkStart w:id="270" w:name="_Ref183512203"/>
      <w:r/>
      <w:bookmarkStart w:id="271" w:name="_Toc163611879"/>
      <w:r/>
      <w:bookmarkStart w:id="272" w:name="_Toc216437673"/>
      <w:r/>
      <w:bookmarkStart w:id="273" w:name="_Toc221869962"/>
      <w:r>
        <w:t xml:space="preserve">10</w:t>
      </w:r>
      <w:bookmarkEnd w:id="270"/>
      <w:r>
        <w:fldChar w:fldCharType="end"/>
      </w:r>
      <w:r>
        <w:t xml:space="preserve">. Визуальная форма записи формуляра «Заявление на изменение справочника «Книги регистрации лицевых счетов» – Вкладка «Основная информация»</w:t>
      </w:r>
      <w:bookmarkEnd w:id="271"/>
      <w:r/>
      <w:bookmarkEnd w:id="272"/>
      <w:r/>
      <w:bookmarkEnd w:id="273"/>
      <w:r/>
      <w:r/>
    </w:p>
    <w:p>
      <w:pPr>
        <w:pStyle w:val="1293"/>
      </w:pPr>
      <w:r>
        <mc:AlternateContent>
          <mc:Choice Requires="wpg">
            <w:drawing>
              <wp:inline xmlns:wp="http://schemas.openxmlformats.org/drawingml/2006/wordprocessingDrawing" distT="0" distB="0" distL="0" distR="0">
                <wp:extent cx="6120130" cy="2423795"/>
                <wp:effectExtent l="0" t="0" r="0" b="0"/>
                <wp:docPr id="1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9"/>
                        <a:stretch/>
                      </pic:blipFill>
                      <pic:spPr bwMode="auto">
                        <a:xfrm>
                          <a:off x="0" y="0"/>
                          <a:ext cx="6120130" cy="24237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481.90pt;height:190.85pt;mso-wrap-distance-left:0.00pt;mso-wrap-distance-top:0.00pt;mso-wrap-distance-right:0.00pt;mso-wrap-distance-bottom:0.00pt;" stroked="false">
                <v:path textboxrect="0,0,0,0"/>
                <v:imagedata r:id="rId29" o:title=""/>
              </v:shape>
            </w:pict>
          </mc:Fallback>
        </mc:AlternateContent>
      </w:r>
      <w:r/>
    </w:p>
    <w:p>
      <w:pPr>
        <w:pStyle w:val="1294"/>
      </w:pPr>
      <w:r>
        <w:fldChar w:fldCharType="begin"/>
      </w:r>
      <w:r>
        <w:instrText xml:space="preserve"> SEQ Рисунок \* ARABIC </w:instrText>
      </w:r>
      <w:r>
        <w:fldChar w:fldCharType="separate"/>
      </w:r>
      <w:bookmarkStart w:id="274" w:name="_Ref183512207"/>
      <w:r/>
      <w:bookmarkStart w:id="275" w:name="_Toc163611880"/>
      <w:r/>
      <w:bookmarkStart w:id="276" w:name="_Toc216437674"/>
      <w:r/>
      <w:bookmarkStart w:id="277" w:name="_Toc221869963"/>
      <w:r>
        <w:t xml:space="preserve">11</w:t>
      </w:r>
      <w:bookmarkEnd w:id="274"/>
      <w:r>
        <w:fldChar w:fldCharType="end"/>
      </w:r>
      <w:r>
        <w:t xml:space="preserve">.</w:t>
      </w:r>
      <w:r>
        <w:t xml:space="preserve"> Визуальная форма записи формуляра «Заявление на изменение справочника «Книги регистрации лицевых счетов» – Вкладка «Основная информация» продолжение</w:t>
      </w:r>
      <w:bookmarkEnd w:id="275"/>
      <w:r/>
      <w:bookmarkEnd w:id="276"/>
      <w:r/>
      <w:bookmarkEnd w:id="277"/>
      <w:r/>
      <w:r/>
    </w:p>
    <w:p>
      <w:pPr>
        <w:pStyle w:val="1293"/>
      </w:pPr>
      <w:r>
        <mc:AlternateContent>
          <mc:Choice Requires="wpg">
            <w:drawing>
              <wp:inline xmlns:wp="http://schemas.openxmlformats.org/drawingml/2006/wordprocessingDrawing" distT="0" distB="0" distL="0" distR="0">
                <wp:extent cx="6120130" cy="3225165"/>
                <wp:effectExtent l="0" t="0" r="0" b="0"/>
                <wp:docPr id="1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0"/>
                        <a:stretch/>
                      </pic:blipFill>
                      <pic:spPr bwMode="auto">
                        <a:xfrm>
                          <a:off x="0" y="0"/>
                          <a:ext cx="6120130" cy="322516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481.90pt;height:253.95pt;mso-wrap-distance-left:0.00pt;mso-wrap-distance-top:0.00pt;mso-wrap-distance-right:0.00pt;mso-wrap-distance-bottom:0.00pt;" stroked="false">
                <v:path textboxrect="0,0,0,0"/>
                <v:imagedata r:id="rId30" o:title=""/>
              </v:shape>
            </w:pict>
          </mc:Fallback>
        </mc:AlternateContent>
      </w:r>
      <w:r/>
    </w:p>
    <w:p>
      <w:pPr>
        <w:pStyle w:val="1294"/>
      </w:pPr>
      <w:r>
        <w:fldChar w:fldCharType="begin"/>
      </w:r>
      <w:r>
        <w:instrText xml:space="preserve"> SEQ Рисунок \* ARABIC </w:instrText>
      </w:r>
      <w:r>
        <w:fldChar w:fldCharType="separate"/>
      </w:r>
      <w:bookmarkStart w:id="278" w:name="_Ref183512214"/>
      <w:r/>
      <w:bookmarkStart w:id="279" w:name="_Toc163611881"/>
      <w:r/>
      <w:bookmarkStart w:id="280" w:name="_Toc216437675"/>
      <w:r/>
      <w:bookmarkStart w:id="281" w:name="_Toc221869964"/>
      <w:r>
        <w:t xml:space="preserve">12</w:t>
      </w:r>
      <w:bookmarkEnd w:id="278"/>
      <w:r>
        <w:fldChar w:fldCharType="end"/>
      </w:r>
      <w:r>
        <w:t xml:space="preserve">.</w:t>
      </w:r>
      <w:r>
        <w:t xml:space="preserve"> Визуальная форма записи формуляра «Заявление на изменение справочника «Книги регистрации лицевых счетов» – Вкладка «Полномочия»</w:t>
      </w:r>
      <w:bookmarkEnd w:id="279"/>
      <w:r/>
      <w:bookmarkEnd w:id="280"/>
      <w:r/>
      <w:bookmarkEnd w:id="281"/>
      <w:r>
        <w:t xml:space="preserve"> </w:t>
      </w:r>
      <w:r/>
    </w:p>
    <w:p>
      <w:pPr>
        <w:pStyle w:val="1293"/>
      </w:pPr>
      <w:r>
        <mc:AlternateContent>
          <mc:Choice Requires="wpg">
            <w:drawing>
              <wp:inline xmlns:wp="http://schemas.openxmlformats.org/drawingml/2006/wordprocessingDrawing" distT="0" distB="0" distL="0" distR="0">
                <wp:extent cx="6120130" cy="3159125"/>
                <wp:effectExtent l="0" t="0" r="0" b="0"/>
                <wp:docPr id="1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1"/>
                        <a:stretch/>
                      </pic:blipFill>
                      <pic:spPr bwMode="auto">
                        <a:xfrm>
                          <a:off x="0" y="0"/>
                          <a:ext cx="6120130" cy="31591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81.90pt;height:248.75pt;mso-wrap-distance-left:0.00pt;mso-wrap-distance-top:0.00pt;mso-wrap-distance-right:0.00pt;mso-wrap-distance-bottom:0.00pt;" stroked="false">
                <v:path textboxrect="0,0,0,0"/>
                <v:imagedata r:id="rId31" o:title=""/>
              </v:shape>
            </w:pict>
          </mc:Fallback>
        </mc:AlternateContent>
      </w:r>
      <w:r/>
    </w:p>
    <w:p>
      <w:pPr>
        <w:pStyle w:val="1294"/>
      </w:pPr>
      <w:r>
        <w:fldChar w:fldCharType="begin"/>
      </w:r>
      <w:r>
        <w:instrText xml:space="preserve"> SEQ Рисунок \* ARABIC </w:instrText>
      </w:r>
      <w:r>
        <w:fldChar w:fldCharType="separate"/>
      </w:r>
      <w:bookmarkStart w:id="282" w:name="_Ref183512221"/>
      <w:r/>
      <w:bookmarkStart w:id="283" w:name="_Toc163611882"/>
      <w:r/>
      <w:bookmarkStart w:id="284" w:name="_Toc216437676"/>
      <w:r/>
      <w:bookmarkStart w:id="285" w:name="_Toc221869965"/>
      <w:r>
        <w:t xml:space="preserve">13</w:t>
      </w:r>
      <w:bookmarkEnd w:id="282"/>
      <w:r>
        <w:fldChar w:fldCharType="end"/>
      </w:r>
      <w:r>
        <w:t xml:space="preserve">.</w:t>
      </w:r>
      <w:r>
        <w:t xml:space="preserve"> Визуальная форма записи формуляра «Заявление на изменение справочника «Книги регистрации лицевых счетов» – Вкладка «Лист согласования»</w:t>
      </w:r>
      <w:bookmarkEnd w:id="283"/>
      <w:r/>
      <w:bookmarkEnd w:id="284"/>
      <w:r/>
      <w:bookmarkEnd w:id="285"/>
      <w:r>
        <w:t xml:space="preserve"> </w:t>
      </w:r>
      <w:r/>
    </w:p>
    <w:p>
      <w:pPr>
        <w:pStyle w:val="1293"/>
      </w:pPr>
      <w:r>
        <mc:AlternateContent>
          <mc:Choice Requires="wpg">
            <w:drawing>
              <wp:inline xmlns:wp="http://schemas.openxmlformats.org/drawingml/2006/wordprocessingDrawing" distT="0" distB="0" distL="0" distR="0">
                <wp:extent cx="6120130" cy="1938655"/>
                <wp:effectExtent l="0" t="0" r="0" b="0"/>
                <wp:docPr id="1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2"/>
                        <a:stretch/>
                      </pic:blipFill>
                      <pic:spPr bwMode="auto">
                        <a:xfrm>
                          <a:off x="0" y="0"/>
                          <a:ext cx="6120130" cy="193865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481.90pt;height:152.65pt;mso-wrap-distance-left:0.00pt;mso-wrap-distance-top:0.00pt;mso-wrap-distance-right:0.00pt;mso-wrap-distance-bottom:0.00pt;" stroked="false">
                <v:path textboxrect="0,0,0,0"/>
                <v:imagedata r:id="rId32" o:title=""/>
              </v:shape>
            </w:pict>
          </mc:Fallback>
        </mc:AlternateContent>
      </w:r>
      <w:r/>
    </w:p>
    <w:p>
      <w:pPr>
        <w:pStyle w:val="1294"/>
      </w:pPr>
      <w:r>
        <w:fldChar w:fldCharType="begin"/>
      </w:r>
      <w:r>
        <w:instrText xml:space="preserve"> SEQ Рисунок \* ARABIC </w:instrText>
      </w:r>
      <w:r>
        <w:fldChar w:fldCharType="separate"/>
      </w:r>
      <w:bookmarkStart w:id="286" w:name="_Ref183512227"/>
      <w:r/>
      <w:bookmarkStart w:id="287" w:name="_Toc163611883"/>
      <w:r/>
      <w:bookmarkStart w:id="288" w:name="_Toc216437677"/>
      <w:r/>
      <w:bookmarkStart w:id="289" w:name="_Toc221869966"/>
      <w:r>
        <w:t xml:space="preserve">14</w:t>
      </w:r>
      <w:bookmarkEnd w:id="286"/>
      <w:r>
        <w:fldChar w:fldCharType="end"/>
      </w:r>
      <w:r>
        <w:t xml:space="preserve">.</w:t>
      </w:r>
      <w:r>
        <w:t xml:space="preserve"> Визуальная форма записи формуляра «Заявление на изменение справочника «Книги регистрации лицевых счетов» – Вкладка «Вложения»</w:t>
      </w:r>
      <w:bookmarkEnd w:id="287"/>
      <w:r/>
      <w:bookmarkEnd w:id="288"/>
      <w:r/>
      <w:bookmarkEnd w:id="289"/>
      <w:r>
        <w:t xml:space="preserve"> </w:t>
      </w:r>
      <w:r/>
    </w:p>
    <w:p>
      <w:pPr>
        <w:pStyle w:val="1284"/>
      </w:pPr>
      <w:r/>
      <w:bookmarkStart w:id="290" w:name="_Toc163611811"/>
      <w:r/>
      <w:bookmarkStart w:id="291" w:name="_Ref172504972"/>
      <w:r/>
      <w:bookmarkStart w:id="292" w:name="_Ref182903435"/>
      <w:r/>
      <w:bookmarkStart w:id="293" w:name="_Ref183510375"/>
      <w:r/>
      <w:bookmarkStart w:id="294" w:name="_Toc216437515"/>
      <w:r/>
      <w:bookmarkStart w:id="295" w:name="_Ref216699445"/>
      <w:r/>
      <w:bookmarkStart w:id="296" w:name="_Ref216708030"/>
      <w:r/>
      <w:bookmarkStart w:id="297" w:name="_Toc221869897"/>
      <w:r>
        <w:t xml:space="preserve">Реквизитный состав записи формуляра «Заявление на изменение справочника «Книги регистрации лицевых счетов»</w:t>
      </w:r>
      <w:bookmarkEnd w:id="290"/>
      <w:r/>
      <w:bookmarkEnd w:id="291"/>
      <w:r/>
      <w:bookmarkEnd w:id="292"/>
      <w:r/>
      <w:bookmarkEnd w:id="293"/>
      <w:r/>
      <w:bookmarkEnd w:id="294"/>
      <w:r/>
      <w:bookmarkEnd w:id="295"/>
      <w:r/>
      <w:bookmarkEnd w:id="296"/>
      <w:r/>
      <w:bookmarkEnd w:id="297"/>
      <w:r/>
      <w:r/>
    </w:p>
    <w:p>
      <w:pPr>
        <w:pStyle w:val="1305"/>
      </w:pPr>
      <w:r>
        <w:t xml:space="preserve">Реквизитный состав записи формуляра приведен в таблице </w:t>
      </w:r>
      <w:r>
        <w:fldChar w:fldCharType="begin"/>
      </w:r>
      <w:r>
        <w:instrText xml:space="preserve"> REF _Ref183512311 \h  \* MERGEFORMAT </w:instrText>
      </w:r>
      <w:r>
        <w:fldChar w:fldCharType="separate"/>
      </w:r>
      <w:r>
        <w:t xml:space="preserve">5</w:t>
      </w:r>
      <w:r>
        <w:fldChar w:fldCharType="end"/>
      </w:r>
      <w:r>
        <w:t xml:space="preserve">.</w:t>
      </w:r>
      <w:r/>
    </w:p>
    <w:p>
      <w:pPr>
        <w:pStyle w:val="1304"/>
        <w:pageBreakBefore/>
      </w:pPr>
      <w:r>
        <w:fldChar w:fldCharType="begin"/>
      </w:r>
      <w:r>
        <w:instrText xml:space="preserve"> SEQ Таблица \* ARABIC </w:instrText>
      </w:r>
      <w:r>
        <w:fldChar w:fldCharType="separate"/>
      </w:r>
      <w:bookmarkStart w:id="298" w:name="_Ref183512311"/>
      <w:r/>
      <w:bookmarkStart w:id="299" w:name="_Toc163611859"/>
      <w:r/>
      <w:bookmarkStart w:id="300" w:name="_Toc216437636"/>
      <w:r/>
      <w:bookmarkStart w:id="301" w:name="_Toc221869946"/>
      <w:r>
        <w:t xml:space="preserve">5</w:t>
      </w:r>
      <w:bookmarkEnd w:id="298"/>
      <w:r>
        <w:fldChar w:fldCharType="end"/>
      </w:r>
      <w:r>
        <w:t xml:space="preserve">. </w:t>
      </w:r>
      <w:bookmarkEnd w:id="299"/>
      <w:r>
        <w:t xml:space="preserve">Реквизитный состав записи формуляра «Заявление на изменение справочника «Книги регистрации лицевых счетов»</w:t>
      </w:r>
      <w:bookmarkEnd w:id="300"/>
      <w:r/>
      <w:bookmarkEnd w:id="301"/>
      <w:r/>
      <w:r/>
    </w:p>
    <w:tbl>
      <w:tblPr>
        <w:tblStyle w:val="1315"/>
        <w:tblW w:w="5000" w:type="pct"/>
        <w:tblLayout w:type="fixed"/>
        <w:tblLook w:val="00A0" w:firstRow="1" w:lastRow="0" w:firstColumn="1" w:lastColumn="0" w:noHBand="0" w:noVBand="0"/>
      </w:tblPr>
      <w:tblGrid>
        <w:gridCol w:w="1860"/>
        <w:gridCol w:w="998"/>
        <w:gridCol w:w="998"/>
        <w:gridCol w:w="5838"/>
      </w:tblGrid>
      <w:tr>
        <w:tblPrEx/>
        <w:trPr/>
        <w:tc>
          <w:tcPr>
            <w:tcW w:w="959" w:type="pct"/>
            <w:textDirection w:val="lrTb"/>
            <w:noWrap w:val="false"/>
          </w:tcPr>
          <w:p>
            <w:pPr>
              <w:pStyle w:val="1317"/>
            </w:pPr>
            <w:r>
              <w:t xml:space="preserve">Наименование</w:t>
            </w:r>
            <w:r/>
          </w:p>
          <w:p>
            <w:pPr>
              <w:pStyle w:val="1317"/>
            </w:pPr>
            <w:r>
              <w:t xml:space="preserve">реквизита</w:t>
            </w:r>
            <w:r/>
          </w:p>
        </w:tc>
        <w:tc>
          <w:tcPr>
            <w:tcW w:w="515" w:type="pct"/>
            <w:textDirection w:val="lrTb"/>
            <w:noWrap w:val="false"/>
          </w:tcPr>
          <w:p>
            <w:pPr>
              <w:pStyle w:val="1317"/>
            </w:pPr>
            <w:r>
              <w:t xml:space="preserve">Обязательность</w:t>
            </w:r>
            <w:r/>
          </w:p>
        </w:tc>
        <w:tc>
          <w:tcPr>
            <w:tcW w:w="515" w:type="pct"/>
            <w:textDirection w:val="lrTb"/>
            <w:noWrap w:val="false"/>
          </w:tcPr>
          <w:p>
            <w:pPr>
              <w:pStyle w:val="1317"/>
            </w:pPr>
            <w:r>
              <w:t xml:space="preserve">Отображение на СФ</w:t>
            </w:r>
            <w:r/>
          </w:p>
        </w:tc>
        <w:tc>
          <w:tcPr>
            <w:tcW w:w="3011" w:type="pct"/>
            <w:textDirection w:val="lrTb"/>
            <w:noWrap w:val="false"/>
          </w:tcPr>
          <w:p>
            <w:pPr>
              <w:pStyle w:val="1317"/>
            </w:pPr>
            <w:r>
              <w:t xml:space="preserve">Правила заполнения</w:t>
            </w:r>
            <w:r/>
          </w:p>
        </w:tc>
      </w:tr>
      <w:tr>
        <w:tblPrEx/>
        <w:trPr/>
        <w:tc>
          <w:tcPr>
            <w:gridSpan w:val="4"/>
            <w:shd w:val="clear" w:color="auto" w:fill="f2f2f2" w:themeFill="background1" w:themeFillShade="F2"/>
            <w:tcW w:w="5000" w:type="pct"/>
            <w:textDirection w:val="lrTb"/>
            <w:noWrap w:val="false"/>
          </w:tcPr>
          <w:p>
            <w:pPr>
              <w:pStyle w:val="1316"/>
              <w:rPr>
                <w:rStyle w:val="1312"/>
              </w:rPr>
            </w:pPr>
            <w:r>
              <w:rPr>
                <w:rStyle w:val="1312"/>
              </w:rPr>
              <w:t xml:space="preserve">Вкладка «Основная информация»</w:t>
            </w:r>
            <w:r>
              <w:rPr>
                <w:rStyle w:val="1312"/>
              </w:rPr>
            </w:r>
          </w:p>
        </w:tc>
      </w:tr>
      <w:tr>
        <w:tblPrEx/>
        <w:trPr/>
        <w:tc>
          <w:tcPr>
            <w:gridSpan w:val="4"/>
            <w:shd w:val="clear" w:color="auto" w:fill="f2f2f2" w:themeFill="background1" w:themeFillShade="F2"/>
            <w:tcW w:w="5000" w:type="pct"/>
            <w:textDirection w:val="lrTb"/>
            <w:noWrap w:val="false"/>
          </w:tcPr>
          <w:p>
            <w:pPr>
              <w:pStyle w:val="1316"/>
              <w:rPr>
                <w:rStyle w:val="1312"/>
              </w:rPr>
            </w:pPr>
            <w:r>
              <w:rPr>
                <w:rStyle w:val="1312"/>
              </w:rPr>
              <w:t xml:space="preserve">Раздел «Сведения о заявке»</w:t>
            </w:r>
            <w:r>
              <w:rPr>
                <w:rStyle w:val="1312"/>
              </w:rPr>
            </w:r>
          </w:p>
        </w:tc>
      </w:tr>
      <w:tr>
        <w:tblPrEx/>
        <w:trPr/>
        <w:tc>
          <w:tcPr>
            <w:tcW w:w="959" w:type="pct"/>
            <w:textDirection w:val="lrTb"/>
            <w:noWrap w:val="false"/>
          </w:tcPr>
          <w:p>
            <w:pPr>
              <w:pStyle w:val="1316"/>
            </w:pPr>
            <w:r>
              <w:t xml:space="preserve">Система-инициатор</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система, являющаяся инициатором формирования документа.</w:t>
            </w:r>
            <w:r/>
          </w:p>
          <w:p>
            <w:pPr>
              <w:pStyle w:val="1316"/>
            </w:pPr>
            <w:r>
              <w:t xml:space="preserve">Заполняется автоматически при создании заявки.</w:t>
            </w:r>
            <w:r/>
          </w:p>
          <w:p>
            <w:pPr>
              <w:pStyle w:val="1316"/>
            </w:pPr>
            <w:r>
              <w:t xml:space="preserve">В случае ручного формирования Заявки в ЛК НСИ ЭБ:</w:t>
            </w:r>
            <w:r/>
          </w:p>
          <w:p>
            <w:pPr>
              <w:pStyle w:val="1318"/>
              <w:ind w:left="340" w:hanging="227"/>
              <w:tabs>
                <w:tab w:val="num" w:pos="340" w:leader="none"/>
              </w:tabs>
            </w:pPr>
            <w:r>
              <w:t xml:space="preserve">НСИ ЭБ.</w:t>
            </w:r>
            <w:r/>
          </w:p>
          <w:p>
            <w:pPr>
              <w:pStyle w:val="1316"/>
            </w:pPr>
            <w:r>
              <w:t xml:space="preserve">В случае импорта документа из внешних систем:</w:t>
            </w:r>
            <w:r/>
          </w:p>
          <w:p>
            <w:pPr>
              <w:pStyle w:val="1318"/>
              <w:ind w:left="340" w:hanging="227"/>
              <w:tabs>
                <w:tab w:val="num" w:pos="340" w:leader="none"/>
              </w:tabs>
            </w:pPr>
            <w:r>
              <w:t xml:space="preserve">ЕИС (в случае получения данных из ЕИС (ES_14));</w:t>
            </w:r>
            <w:r/>
          </w:p>
          <w:p>
            <w:pPr>
              <w:pStyle w:val="1318"/>
              <w:ind w:left="340" w:hanging="227"/>
              <w:tabs>
                <w:tab w:val="num" w:pos="340" w:leader="none"/>
              </w:tabs>
            </w:pPr>
            <w:r>
              <w:t xml:space="preserve">Внешний сервис (в случае получения данных из внешнего сервиса «Узнай свой ЛС»);</w:t>
            </w:r>
            <w:r/>
          </w:p>
          <w:p>
            <w:pPr>
              <w:pStyle w:val="1318"/>
              <w:ind w:left="340" w:hanging="227"/>
              <w:tabs>
                <w:tab w:val="num" w:pos="340" w:leader="none"/>
              </w:tabs>
            </w:pPr>
            <w:r>
              <w:t xml:space="preserve">ЕБП (в случае получения данных из документа «Реестр заявлений КРЛС из Внешней системы» (D_054) по заявлению от ЕБП);</w:t>
            </w:r>
            <w:r/>
          </w:p>
          <w:p>
            <w:pPr>
              <w:pStyle w:val="1318"/>
              <w:ind w:left="340" w:hanging="227"/>
              <w:tabs>
                <w:tab w:val="num" w:pos="340" w:leader="none"/>
              </w:tabs>
            </w:pPr>
            <w:r>
              <w:t xml:space="preserve">ПУР КС (в случае получения данных из документа «Реестр заявлений КРЛС из Внешней системы» (D_054) по заявлению от ПУР КС).</w:t>
            </w:r>
            <w:r/>
          </w:p>
          <w:p>
            <w:pPr>
              <w:pStyle w:val="1316"/>
            </w:pPr>
            <w:r>
              <w:rPr>
                <w:szCs w:val="22"/>
              </w:rPr>
              <w:t xml:space="preserve">Реквизит не отображается в ЛК Клиент (реквизит «</w:t>
            </w:r>
            <w:r>
              <w:t xml:space="preserve">Тип организации/клиента – текущего пользователя</w:t>
            </w:r>
            <w:r>
              <w:rPr>
                <w:szCs w:val="22"/>
              </w:rPr>
              <w:t xml:space="preserve">» = «Клиент»)</w:t>
            </w:r>
            <w:r/>
          </w:p>
        </w:tc>
      </w:tr>
      <w:tr>
        <w:tblPrEx/>
        <w:trPr/>
        <w:tc>
          <w:tcPr>
            <w:tcW w:w="959" w:type="pct"/>
            <w:textDirection w:val="lrTb"/>
            <w:noWrap w:val="false"/>
          </w:tcPr>
          <w:p>
            <w:pPr>
              <w:pStyle w:val="1316"/>
            </w:pPr>
            <w:r>
              <w:t xml:space="preserve">Тип заявки</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Да</w:t>
            </w:r>
            <w:r/>
          </w:p>
        </w:tc>
        <w:tc>
          <w:tcPr>
            <w:tcW w:w="3011" w:type="pct"/>
            <w:textDirection w:val="lrTb"/>
            <w:noWrap w:val="false"/>
          </w:tcPr>
          <w:p>
            <w:pPr>
              <w:pStyle w:val="1316"/>
            </w:pPr>
            <w:r>
              <w:t xml:space="preserve">Указывается тип заявки.</w:t>
            </w:r>
            <w:r/>
          </w:p>
          <w:p>
            <w:pPr>
              <w:pStyle w:val="1316"/>
            </w:pPr>
            <w:r>
              <w:t xml:space="preserve">Если реквизит «Система-инициатор» = «НСИ ЭБ» и реквизит «Тип организации/клиента - создателя Заявки» = «Клиент», заполняется вручную, из списка доступных значений:</w:t>
            </w:r>
            <w:r/>
          </w:p>
          <w:p>
            <w:pPr>
              <w:pStyle w:val="1318"/>
              <w:ind w:left="340" w:hanging="227"/>
              <w:tabs>
                <w:tab w:val="num" w:pos="340" w:leader="none"/>
              </w:tabs>
            </w:pPr>
            <w:r>
              <w:t xml:space="preserve">Открытие;</w:t>
            </w:r>
            <w:r/>
          </w:p>
          <w:p>
            <w:pPr>
              <w:pStyle w:val="1318"/>
              <w:ind w:left="340" w:hanging="227"/>
              <w:tabs>
                <w:tab w:val="num" w:pos="340" w:leader="none"/>
              </w:tabs>
            </w:pPr>
            <w:r>
              <w:t xml:space="preserve">Резервирование;</w:t>
            </w:r>
            <w:r/>
          </w:p>
          <w:p>
            <w:pPr>
              <w:pStyle w:val="1318"/>
              <w:ind w:left="340" w:hanging="227"/>
              <w:tabs>
                <w:tab w:val="num" w:pos="340" w:leader="none"/>
              </w:tabs>
            </w:pPr>
            <w:r>
              <w:t xml:space="preserve">Закрытие. </w:t>
            </w:r>
            <w:r/>
          </w:p>
          <w:p>
            <w:pPr>
              <w:pStyle w:val="1316"/>
            </w:pPr>
            <w:r>
              <w:t xml:space="preserve">Если реквизит «Система-инициатор» = «НСИ ЭБ» и реквизит «Тип организации/клиента - создателя Заявки» ≠ «Клиент», заполняется вручную, из списка доступных значений:</w:t>
            </w:r>
            <w:r/>
          </w:p>
          <w:p>
            <w:pPr>
              <w:pStyle w:val="1318"/>
              <w:ind w:left="340" w:hanging="227"/>
              <w:tabs>
                <w:tab w:val="num" w:pos="340" w:leader="none"/>
              </w:tabs>
            </w:pPr>
            <w:r>
              <w:t xml:space="preserve">Резервирование;</w:t>
            </w:r>
            <w:r/>
          </w:p>
          <w:p>
            <w:pPr>
              <w:pStyle w:val="1318"/>
              <w:ind w:left="340" w:hanging="227"/>
              <w:tabs>
                <w:tab w:val="num" w:pos="340" w:leader="none"/>
              </w:tabs>
            </w:pPr>
            <w:r>
              <w:t xml:space="preserve">Открытие;</w:t>
            </w:r>
            <w:r/>
          </w:p>
          <w:p>
            <w:pPr>
              <w:pStyle w:val="1318"/>
              <w:ind w:left="340" w:hanging="227"/>
              <w:tabs>
                <w:tab w:val="num" w:pos="340" w:leader="none"/>
              </w:tabs>
            </w:pPr>
            <w:r>
              <w:t xml:space="preserve">Изменение;</w:t>
            </w:r>
            <w:r/>
          </w:p>
          <w:p>
            <w:pPr>
              <w:pStyle w:val="1318"/>
              <w:ind w:left="340" w:hanging="227"/>
              <w:tabs>
                <w:tab w:val="num" w:pos="340" w:leader="none"/>
              </w:tabs>
            </w:pPr>
            <w:r>
              <w:t xml:space="preserve">Переоформление;</w:t>
            </w:r>
            <w:r/>
          </w:p>
          <w:p>
            <w:pPr>
              <w:pStyle w:val="1318"/>
              <w:ind w:left="340" w:hanging="227"/>
              <w:tabs>
                <w:tab w:val="num" w:pos="340" w:leader="none"/>
              </w:tabs>
            </w:pPr>
            <w:r>
              <w:t xml:space="preserve">Закрытие</w:t>
            </w:r>
            <w:r/>
          </w:p>
          <w:p>
            <w:pPr>
              <w:pStyle w:val="1316"/>
            </w:pPr>
            <w:r>
              <w:t xml:space="preserve">Если реквизит «Система-инициатор» ≠ «НСИ ЭБ», заполняется автоматически</w:t>
            </w:r>
            <w:r/>
          </w:p>
        </w:tc>
      </w:tr>
      <w:tr>
        <w:tblPrEx/>
        <w:trPr/>
        <w:tc>
          <w:tcPr>
            <w:tcW w:w="959" w:type="pct"/>
            <w:textDirection w:val="lrTb"/>
            <w:noWrap w:val="false"/>
          </w:tcPr>
          <w:p>
            <w:pPr>
              <w:pStyle w:val="1316"/>
            </w:pPr>
            <w:r>
              <w:t xml:space="preserve">Номер заявки</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Да</w:t>
            </w:r>
            <w:r/>
          </w:p>
        </w:tc>
        <w:tc>
          <w:tcPr>
            <w:tcW w:w="3011" w:type="pct"/>
            <w:textDirection w:val="lrTb"/>
            <w:noWrap w:val="false"/>
          </w:tcPr>
          <w:p>
            <w:pPr>
              <w:pStyle w:val="1316"/>
            </w:pPr>
            <w:r>
              <w:t xml:space="preserve">Указывается номер заявки.</w:t>
            </w:r>
            <w:r/>
          </w:p>
          <w:p>
            <w:pPr>
              <w:pStyle w:val="1316"/>
            </w:pPr>
            <w:r>
              <w:t xml:space="preserve">Заполняется автоматически при сохранении заявки</w:t>
            </w:r>
            <w:r/>
          </w:p>
        </w:tc>
      </w:tr>
      <w:tr>
        <w:tblPrEx/>
        <w:trPr/>
        <w:tc>
          <w:tcPr>
            <w:tcW w:w="959" w:type="pct"/>
            <w:textDirection w:val="lrTb"/>
            <w:noWrap w:val="false"/>
          </w:tcPr>
          <w:p>
            <w:pPr>
              <w:pStyle w:val="1316"/>
            </w:pPr>
            <w:r>
              <w:t xml:space="preserve">Дата создания заявки</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Да</w:t>
            </w:r>
            <w:r/>
          </w:p>
        </w:tc>
        <w:tc>
          <w:tcPr>
            <w:tcW w:w="3011" w:type="pct"/>
            <w:textDirection w:val="lrTb"/>
            <w:noWrap w:val="false"/>
          </w:tcPr>
          <w:p>
            <w:pPr>
              <w:pStyle w:val="1316"/>
            </w:pPr>
            <w:r>
              <w:t xml:space="preserve">Указывается дата создания документа.</w:t>
            </w:r>
            <w:r/>
          </w:p>
          <w:p>
            <w:pPr>
              <w:pStyle w:val="1316"/>
            </w:pPr>
            <w:r>
              <w:t xml:space="preserve">Заполняется автоматически при создании заявки</w:t>
            </w:r>
            <w:r/>
          </w:p>
        </w:tc>
      </w:tr>
      <w:tr>
        <w:tblPrEx/>
        <w:trPr/>
        <w:tc>
          <w:tcPr>
            <w:gridSpan w:val="4"/>
            <w:shd w:val="clear" w:color="auto" w:fill="f2f2f2" w:themeFill="background1" w:themeFillShade="F2"/>
            <w:tcW w:w="5000" w:type="pct"/>
            <w:textDirection w:val="lrTb"/>
            <w:noWrap w:val="false"/>
          </w:tcPr>
          <w:p>
            <w:pPr>
              <w:pStyle w:val="1316"/>
              <w:rPr>
                <w:rStyle w:val="1312"/>
              </w:rPr>
            </w:pPr>
            <w:r>
              <w:rPr>
                <w:rStyle w:val="1312"/>
              </w:rPr>
              <w:t xml:space="preserve">Раздел «Основные сведения о клиенте»</w:t>
            </w:r>
            <w:r>
              <w:rPr>
                <w:rStyle w:val="1312"/>
              </w:rPr>
            </w:r>
          </w:p>
        </w:tc>
      </w:tr>
      <w:tr>
        <w:tblPrEx/>
        <w:trPr/>
        <w:tc>
          <w:tcPr>
            <w:tcW w:w="959" w:type="pct"/>
            <w:textDirection w:val="lrTb"/>
            <w:noWrap w:val="false"/>
          </w:tcPr>
          <w:p>
            <w:pPr>
              <w:pStyle w:val="1316"/>
            </w:pPr>
            <w:r>
              <w:t xml:space="preserve">Клиент отсутствует в Сводном реестре/реестре ИП, КФХ</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признак отсутствия клиента в Сводном реестре или реестре ИП и КФХ.</w:t>
            </w:r>
            <w:r/>
          </w:p>
          <w:p>
            <w:pPr>
              <w:pStyle w:val="1316"/>
            </w:pPr>
            <w:r>
              <w:t xml:space="preserve">Заполняется вручную пользователем (логический реквизит, по умолчанию принимает значение «Нет»). Требуется установить параметр, значение «Да», если Клиент не включен в справочник «Сводный реестр» и «Реестр ИП, КФХ».</w:t>
            </w:r>
            <w:r/>
          </w:p>
          <w:p>
            <w:pPr>
              <w:pStyle w:val="1316"/>
              <w:rPr>
                <w:szCs w:val="22"/>
              </w:rPr>
            </w:pPr>
            <w:r>
              <w:t xml:space="preserve">Отображается и доступен для заполнения, если реквизит «Тип заявки» = «Резервирование» И </w:t>
            </w:r>
            <w:r>
              <w:rPr>
                <w:szCs w:val="22"/>
              </w:rPr>
              <w:t xml:space="preserve">реквизит «</w:t>
            </w:r>
            <w:r>
              <w:t xml:space="preserve">Тип организации/клиента - создателя Заявки</w:t>
            </w:r>
            <w:r>
              <w:rPr>
                <w:szCs w:val="22"/>
              </w:rPr>
              <w:t xml:space="preserve">» ≠ «Клиент».</w:t>
            </w:r>
            <w:r>
              <w:rPr>
                <w:szCs w:val="22"/>
              </w:rPr>
            </w:r>
          </w:p>
          <w:p>
            <w:pPr>
              <w:pStyle w:val="1316"/>
              <w:rPr>
                <w:szCs w:val="22"/>
              </w:rPr>
            </w:pPr>
            <w:r>
              <w:rPr>
                <w:szCs w:val="22"/>
              </w:rPr>
              <w:t xml:space="preserve">Не доступен для заполнения, если реквизит «Тип клиента» = «ФЛ» / «ОИнЮЛ».</w:t>
            </w:r>
            <w:r>
              <w:rPr>
                <w:szCs w:val="22"/>
              </w:rPr>
            </w:r>
          </w:p>
          <w:p>
            <w:pPr>
              <w:pStyle w:val="1316"/>
              <w:rPr>
                <w:szCs w:val="22"/>
              </w:rPr>
            </w:pPr>
            <w:r>
              <w:rPr>
                <w:szCs w:val="22"/>
              </w:rPr>
              <w:t xml:space="preserve">Реквизит не отображается в ЛК Клиент (реквизит «</w:t>
            </w:r>
            <w:r>
              <w:t xml:space="preserve">Тип организации/клиента – текущего пользователя</w:t>
            </w:r>
            <w:r>
              <w:rPr>
                <w:szCs w:val="22"/>
              </w:rPr>
              <w:t xml:space="preserve">» = «Клиент»)</w:t>
            </w:r>
            <w:r>
              <w:rPr>
                <w:szCs w:val="22"/>
              </w:rPr>
            </w:r>
          </w:p>
          <w:p>
            <w:pPr>
              <w:pStyle w:val="1316"/>
              <w:rPr>
                <w:szCs w:val="22"/>
              </w:rPr>
            </w:pPr>
            <w:r>
              <w:t xml:space="preserve">Если реквизит «Система-инициатор» = «ПУР КС», заполняется автоматически</w:t>
            </w:r>
            <w:r>
              <w:rPr>
                <w:szCs w:val="22"/>
              </w:rPr>
            </w:r>
          </w:p>
        </w:tc>
      </w:tr>
      <w:tr>
        <w:tblPrEx/>
        <w:trPr/>
        <w:tc>
          <w:tcPr>
            <w:tcW w:w="959" w:type="pct"/>
            <w:textDirection w:val="lrTb"/>
            <w:noWrap w:val="false"/>
          </w:tcPr>
          <w:p>
            <w:pPr>
              <w:pStyle w:val="1316"/>
            </w:pPr>
            <w:r>
              <w:t xml:space="preserve">Тип клиента</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тип клиента.</w:t>
            </w:r>
            <w:r/>
          </w:p>
          <w:p>
            <w:pPr>
              <w:pStyle w:val="1316"/>
            </w:pPr>
            <w:r>
              <w:t xml:space="preserve">Может принимать значение:</w:t>
            </w:r>
            <w:r/>
          </w:p>
          <w:p>
            <w:pPr>
              <w:pStyle w:val="1318"/>
              <w:ind w:left="340" w:hanging="227"/>
              <w:tabs>
                <w:tab w:val="num" w:pos="340" w:leader="none"/>
              </w:tabs>
            </w:pPr>
            <w:r>
              <w:t xml:space="preserve">ИП;</w:t>
            </w:r>
            <w:r/>
          </w:p>
          <w:p>
            <w:pPr>
              <w:pStyle w:val="1318"/>
              <w:ind w:left="340" w:hanging="227"/>
              <w:tabs>
                <w:tab w:val="num" w:pos="340" w:leader="none"/>
              </w:tabs>
            </w:pPr>
            <w:r>
              <w:t xml:space="preserve">ЮЛ;</w:t>
            </w:r>
            <w:r/>
          </w:p>
          <w:p>
            <w:pPr>
              <w:pStyle w:val="1318"/>
              <w:ind w:left="340" w:hanging="227"/>
              <w:tabs>
                <w:tab w:val="num" w:pos="340" w:leader="none"/>
              </w:tabs>
            </w:pPr>
            <w:r>
              <w:t xml:space="preserve">КФХ;</w:t>
            </w:r>
            <w:r/>
          </w:p>
          <w:p>
            <w:pPr>
              <w:pStyle w:val="1318"/>
              <w:ind w:left="340" w:hanging="227"/>
              <w:tabs>
                <w:tab w:val="num" w:pos="340" w:leader="none"/>
              </w:tabs>
            </w:pPr>
            <w:r>
              <w:t xml:space="preserve">ОП ЮЛ;</w:t>
            </w:r>
            <w:r/>
          </w:p>
          <w:p>
            <w:pPr>
              <w:pStyle w:val="1318"/>
              <w:ind w:left="340" w:hanging="227"/>
              <w:tabs>
                <w:tab w:val="num" w:pos="340" w:leader="none"/>
              </w:tabs>
            </w:pPr>
            <w:r>
              <w:t xml:space="preserve">ФЛ;</w:t>
            </w:r>
            <w:r/>
          </w:p>
          <w:p>
            <w:pPr>
              <w:pStyle w:val="1318"/>
              <w:ind w:left="340" w:hanging="227"/>
              <w:tabs>
                <w:tab w:val="num" w:pos="340" w:leader="none"/>
              </w:tabs>
            </w:pPr>
            <w:r>
              <w:rPr>
                <w:szCs w:val="22"/>
              </w:rPr>
              <w:t xml:space="preserve">ОИнЮЛ</w:t>
            </w:r>
            <w:r>
              <w:t xml:space="preserve">.</w:t>
            </w:r>
            <w:r/>
          </w:p>
          <w:p>
            <w:pPr>
              <w:pStyle w:val="1316"/>
              <w:rPr>
                <w:szCs w:val="22"/>
              </w:rPr>
            </w:pPr>
            <w:r>
              <w:t xml:space="preserve">Если реквизит «Тип заявки» = «Резервирование» / «Открытие» (открытие лицевого счета без предварительного резервирования) И </w:t>
            </w:r>
            <w:r>
              <w:rPr>
                <w:szCs w:val="22"/>
              </w:rPr>
              <w:t xml:space="preserve">реквизит «</w:t>
            </w:r>
            <w:r>
              <w:t xml:space="preserve">Тип организации/клиента - создателя Заявки</w:t>
            </w:r>
            <w:r>
              <w:rPr>
                <w:szCs w:val="22"/>
              </w:rPr>
              <w:t xml:space="preserve">» = «Клиент», то заполняется автоматически на основании данных справочников «Сводный реестр» или «Реестра ИП, КФХ» и не доступен для редактирования. </w:t>
            </w:r>
            <w:r>
              <w:rPr>
                <w:szCs w:val="22"/>
              </w:rPr>
            </w:r>
          </w:p>
          <w:p>
            <w:pPr>
              <w:pStyle w:val="1316"/>
            </w:pPr>
            <w:r>
              <w:t xml:space="preserve">Ес</w:t>
            </w:r>
            <w:r>
              <w:t xml:space="preserve">ли реквизит «Тип заявки» = «Резервирование» / «Открытие» (открытие лицевого счета без предварительного резервирования) И реквизит «Тип организации/клиента - создателя Заявки» ≠ «Клиент», то заполняется вручную выбором значения из списка доступных значений.</w:t>
            </w:r>
            <w:r/>
          </w:p>
          <w:p>
            <w:pPr>
              <w:pStyle w:val="1316"/>
            </w:pPr>
            <w:r>
              <w:t xml:space="preserve">Если реквизит «Тип заявки» = «Открытие» (открывается ранее зарезервированный счет) / «Изменение» / «Переоформление» / «Закрытие», то заполняется значением реквизита «Тип клиента» записи справочника «Книга регистрации лицевых счетов» </w:t>
            </w:r>
            <w:r/>
          </w:p>
        </w:tc>
      </w:tr>
      <w:tr>
        <w:tblPrEx/>
        <w:trPr/>
        <w:tc>
          <w:tcPr>
            <w:tcW w:w="959" w:type="pct"/>
            <w:textDirection w:val="lrTb"/>
            <w:noWrap w:val="false"/>
          </w:tcPr>
          <w:p>
            <w:pPr>
              <w:pStyle w:val="1316"/>
            </w:pPr>
            <w:r>
              <w:t xml:space="preserve">Код клиента по Сводному реестру/реестру ИП, КФХ</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Да</w:t>
            </w:r>
            <w:r/>
          </w:p>
        </w:tc>
        <w:tc>
          <w:tcPr>
            <w:tcW w:w="3011" w:type="pct"/>
            <w:textDirection w:val="lrTb"/>
            <w:noWrap w:val="false"/>
          </w:tcPr>
          <w:p>
            <w:pPr>
              <w:pStyle w:val="1316"/>
            </w:pPr>
            <w:r>
              <w:t xml:space="preserve">Указывается код клиента по Сводному реестру/реестру ИП, КФХ.</w:t>
            </w:r>
            <w:r/>
          </w:p>
          <w:p>
            <w:pPr>
              <w:pStyle w:val="1316"/>
            </w:pPr>
            <w:r>
              <w:t xml:space="preserve">Заполняется значением «Код организации» из справочника «Сводный реестр» или «Реестр ИП, КФХ». </w:t>
            </w:r>
            <w:r/>
          </w:p>
          <w:p>
            <w:pPr>
              <w:pStyle w:val="1316"/>
            </w:pPr>
            <w:r>
              <w:t xml:space="preserve">В случае отсутствия клиента в справочнике «Сводный реестр» / «Реестр ИП, КФХ» – не заполняется</w:t>
            </w:r>
            <w:r/>
          </w:p>
        </w:tc>
      </w:tr>
      <w:tr>
        <w:tblPrEx/>
        <w:trPr/>
        <w:tc>
          <w:tcPr>
            <w:tcW w:w="959" w:type="pct"/>
            <w:textDirection w:val="lrTb"/>
            <w:noWrap w:val="false"/>
          </w:tcPr>
          <w:p>
            <w:pPr>
              <w:pStyle w:val="1316"/>
            </w:pPr>
            <w:r>
              <w:t xml:space="preserve">Головной исполнитель</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Да</w:t>
            </w:r>
            <w:r/>
          </w:p>
        </w:tc>
        <w:tc>
          <w:tcPr>
            <w:tcW w:w="3011" w:type="pct"/>
            <w:textDirection w:val="lrTb"/>
            <w:noWrap w:val="false"/>
          </w:tcPr>
          <w:p>
            <w:pPr>
              <w:pStyle w:val="1316"/>
            </w:pPr>
            <w:r>
              <w:t xml:space="preserve">Указывается признак является ли клиент головной организацией.</w:t>
            </w:r>
            <w:r/>
          </w:p>
          <w:p>
            <w:pPr>
              <w:pStyle w:val="1316"/>
            </w:pPr>
            <w:r>
              <w:t xml:space="preserve">Заполняется вручную пользователем (логический реквизит, по умолчанию принимает значение «Нет»).</w:t>
            </w:r>
            <w:r/>
          </w:p>
          <w:p>
            <w:pPr>
              <w:pStyle w:val="1316"/>
            </w:pPr>
            <w:r>
              <w:t xml:space="preserve">Доступен для редактирования сотруднику ТОФК / ТОФК ЦС.</w:t>
            </w:r>
            <w:r/>
          </w:p>
          <w:p>
            <w:pPr>
              <w:pStyle w:val="1316"/>
              <w:rPr>
                <w:szCs w:val="22"/>
              </w:rPr>
            </w:pPr>
            <w:r>
              <w:rPr>
                <w:szCs w:val="22"/>
              </w:rPr>
              <w:t xml:space="preserve">Реквизит не отображается в ЛК Клиент (реквизит «</w:t>
            </w:r>
            <w:r>
              <w:t xml:space="preserve">Тип организации/клиента – текущего пользователя</w:t>
            </w:r>
            <w:r>
              <w:rPr>
                <w:szCs w:val="22"/>
              </w:rPr>
              <w:t xml:space="preserve">» = «Клиент»)</w:t>
            </w:r>
            <w:r>
              <w:rPr>
                <w:szCs w:val="22"/>
              </w:rPr>
            </w:r>
          </w:p>
          <w:p>
            <w:pPr>
              <w:pStyle w:val="1316"/>
              <w:rPr>
                <w:szCs w:val="22"/>
              </w:rPr>
            </w:pPr>
            <w:r>
              <w:t xml:space="preserve">Если реквизит «Система-инициатор» = «ПУР КС», заполняется автоматически</w:t>
            </w:r>
            <w:r>
              <w:rPr>
                <w:szCs w:val="22"/>
              </w:rPr>
            </w:r>
          </w:p>
        </w:tc>
      </w:tr>
      <w:tr>
        <w:tblPrEx/>
        <w:trPr/>
        <w:tc>
          <w:tcPr>
            <w:tcW w:w="959" w:type="pct"/>
            <w:textDirection w:val="lrTb"/>
            <w:noWrap w:val="false"/>
          </w:tcPr>
          <w:p>
            <w:pPr>
              <w:pStyle w:val="1316"/>
            </w:pPr>
            <w:r>
              <w:rPr>
                <w:rFonts w:ascii="Times New Roman CYR" w:hAnsi="Times New Roman CYR" w:cs="Times New Roman CYR"/>
                <w:szCs w:val="22"/>
              </w:rPr>
              <w:t xml:space="preserve">Системы взаимодействия с клиентом </w:t>
            </w:r>
            <w:r>
              <w:t xml:space="preserve">(наименование на СФ: Наименование с</w:t>
            </w:r>
            <w:r>
              <w:rPr>
                <w:rFonts w:ascii="Times New Roman CYR" w:hAnsi="Times New Roman CYR" w:cs="Times New Roman CYR"/>
                <w:szCs w:val="22"/>
              </w:rPr>
              <w:t xml:space="preserve">истемы взаимодействия с клиентом</w:t>
            </w:r>
            <w:r>
              <w:t xml:space="preserve">)</w:t>
            </w:r>
            <w:r/>
          </w:p>
        </w:tc>
        <w:tc>
          <w:tcPr>
            <w:tcW w:w="515" w:type="pct"/>
            <w:textDirection w:val="lrTb"/>
            <w:noWrap w:val="false"/>
          </w:tcPr>
          <w:p>
            <w:pPr>
              <w:pStyle w:val="1316"/>
            </w:pPr>
            <w:r>
              <w:rPr>
                <w:szCs w:val="22"/>
              </w:rPr>
              <w:t xml:space="preserve">Нет</w:t>
            </w:r>
            <w:bookmarkStart w:id="302" w:name="_GoBack"/>
            <w:r/>
            <w:bookmarkEnd w:id="302"/>
            <w:r/>
            <w:r/>
          </w:p>
        </w:tc>
        <w:tc>
          <w:tcPr>
            <w:tcW w:w="515" w:type="pct"/>
            <w:textDirection w:val="lrTb"/>
            <w:noWrap w:val="false"/>
          </w:tcPr>
          <w:p>
            <w:pPr>
              <w:pStyle w:val="1316"/>
            </w:pPr>
            <w:r>
              <w:t xml:space="preserve">Да</w:t>
            </w:r>
            <w:r/>
          </w:p>
        </w:tc>
        <w:tc>
          <w:tcPr>
            <w:tcW w:w="3011" w:type="pct"/>
            <w:textDirection w:val="lrTb"/>
            <w:noWrap w:val="false"/>
          </w:tcPr>
          <w:p>
            <w:pPr>
              <w:pStyle w:val="1316"/>
              <w:rPr>
                <w:rFonts w:ascii="Times New Roman CYR" w:hAnsi="Times New Roman CYR" w:cs="Times New Roman CYR"/>
                <w:szCs w:val="22"/>
              </w:rPr>
            </w:pPr>
            <w:r>
              <w:rPr>
                <w:rFonts w:ascii="Times New Roman CYR" w:hAnsi="Times New Roman CYR" w:cs="Times New Roman CYR"/>
                <w:szCs w:val="22"/>
              </w:rPr>
              <w:t xml:space="preserve">Указывается информация о системе взаимодействия с клиентом, посредством которой обеспечивается документооборот с клиентом.</w:t>
            </w:r>
            <w:r>
              <w:rPr>
                <w:rFonts w:ascii="Times New Roman CYR" w:hAnsi="Times New Roman CYR" w:cs="Times New Roman CYR"/>
                <w:szCs w:val="22"/>
              </w:rPr>
            </w:r>
          </w:p>
          <w:p>
            <w:pPr>
              <w:pStyle w:val="1316"/>
            </w:pPr>
            <w:r>
              <w:rPr>
                <w:rFonts w:ascii="Times New Roman CYR" w:hAnsi="Times New Roman CYR" w:cs="Times New Roman CYR"/>
                <w:szCs w:val="22"/>
              </w:rPr>
              <w:t xml:space="preserve">Заполняется вручную пользователем из справочника «Коды систем»</w:t>
            </w:r>
            <w:r/>
          </w:p>
        </w:tc>
      </w:tr>
      <w:tr>
        <w:tblPrEx/>
        <w:trPr/>
        <w:tc>
          <w:tcPr>
            <w:tcW w:w="959" w:type="pct"/>
            <w:textDirection w:val="lrTb"/>
            <w:noWrap w:val="false"/>
          </w:tcPr>
          <w:p>
            <w:pPr>
              <w:pStyle w:val="1316"/>
            </w:pPr>
            <w:r>
              <w:t xml:space="preserve">ИНН</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ИНН клиента.</w:t>
            </w:r>
            <w:r/>
          </w:p>
          <w:p>
            <w:pPr>
              <w:pStyle w:val="1316"/>
            </w:pPr>
            <w:r>
              <w:t xml:space="preserve">Заполняется автоматически.</w:t>
            </w:r>
            <w:r/>
          </w:p>
          <w:p>
            <w:pPr>
              <w:pStyle w:val="1316"/>
            </w:pPr>
            <w:r>
              <w:t xml:space="preserve">В случае отсутствия клиента в справочнике «Сводный реестр» / «Реестр ИП, КФХ» – заполняется из справочника «ЕГРЮЛ» / «ЕГРИП» или вручную</w:t>
            </w:r>
            <w:r/>
          </w:p>
          <w:p>
            <w:pPr>
              <w:pStyle w:val="1316"/>
            </w:pPr>
            <w:r>
              <w:t xml:space="preserve">Если реквизит «Система-инициатор» ≠ «НСИ», заполняется автоматически</w:t>
            </w:r>
            <w:r/>
          </w:p>
        </w:tc>
      </w:tr>
      <w:tr>
        <w:tblPrEx/>
        <w:trPr/>
        <w:tc>
          <w:tcPr>
            <w:tcW w:w="959" w:type="pct"/>
            <w:textDirection w:val="lrTb"/>
            <w:noWrap w:val="false"/>
          </w:tcPr>
          <w:p>
            <w:pPr>
              <w:pStyle w:val="1316"/>
            </w:pPr>
            <w:r>
              <w:t xml:space="preserve">Номер клиента</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номер клиента.</w:t>
            </w:r>
            <w:r/>
          </w:p>
          <w:p>
            <w:pPr>
              <w:pStyle w:val="1316"/>
            </w:pPr>
            <w:r>
              <w:t xml:space="preserve">Заполняется автоматически.</w:t>
            </w:r>
            <w:r/>
          </w:p>
          <w:p>
            <w:pPr>
              <w:pStyle w:val="1316"/>
            </w:pPr>
            <w:r>
              <w:t xml:space="preserve">В случае отсутствия клиента в справочнике «Сводный реестр» / «Реестр ИП, КФХ» – автоматически генерируется согласно алгоритму формирования номера клиента для типа НУБП. </w:t>
            </w:r>
            <w:r/>
          </w:p>
          <w:p>
            <w:pPr>
              <w:pStyle w:val="1316"/>
            </w:pPr>
            <w:r>
              <w:t xml:space="preserve">Реквизит доступен для редактирования, если реквизит «Тип лицевого счета» заполнен значением 01, 02, 03, 04, 06, 07, 08, 09, 10 и во вкладке «Полномочия» присутствуют соответствующие выбранному типу лицевого счета принятые полномочия. </w:t>
            </w:r>
            <w:r/>
          </w:p>
          <w:p>
            <w:pPr>
              <w:pStyle w:val="1316"/>
            </w:pPr>
            <w:r>
              <w:t xml:space="preserve">Если реквизит «Тип заявки» = «Изменение» / «Переоформление» / «Закрытие», то заполняется значением реквизита «Учетный номер» записи справочника «Книга регистрации лицевых счетов» </w:t>
            </w:r>
            <w:r/>
          </w:p>
        </w:tc>
      </w:tr>
      <w:tr>
        <w:tblPrEx/>
        <w:trPr/>
        <w:tc>
          <w:tcPr>
            <w:tcW w:w="959" w:type="pct"/>
            <w:textDirection w:val="lrTb"/>
            <w:noWrap w:val="false"/>
          </w:tcPr>
          <w:p>
            <w:pPr>
              <w:pStyle w:val="1316"/>
            </w:pPr>
            <w:r>
              <w:t xml:space="preserve">Учетный номер</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учетный клиента.</w:t>
            </w:r>
            <w:r/>
          </w:p>
          <w:p>
            <w:pPr>
              <w:pStyle w:val="1316"/>
            </w:pPr>
            <w:r>
              <w:t xml:space="preserve">Заполняется автоматически.</w:t>
            </w:r>
            <w:r/>
          </w:p>
          <w:p>
            <w:pPr>
              <w:pStyle w:val="1316"/>
            </w:pPr>
            <w:r>
              <w:t xml:space="preserve">Не отображается и не заполняется, если реквизит «Тип заявки» = «Резервирование» / «Открытие» И «Тип лицевого счета» = «71».</w:t>
            </w:r>
            <w:r/>
          </w:p>
          <w:p>
            <w:pPr>
              <w:pStyle w:val="1316"/>
            </w:pPr>
            <w:r>
              <w:t xml:space="preserve">Реквизит доступен для редактирования, если реквизит «Тип лицевого счета» заполнен значением 01, 02, 03, 04, 05, 06, 07, 08, 09, 10 и во вкладке «Полномочия» присутствуют соответствующие выбранному типу лицевого счета принятые </w:t>
            </w:r>
            <w:r>
              <w:t xml:space="preserve">полномочия</w:t>
            </w:r>
            <w:r/>
          </w:p>
        </w:tc>
      </w:tr>
      <w:tr>
        <w:tblPrEx/>
        <w:trPr/>
        <w:tc>
          <w:tcPr>
            <w:tcW w:w="959" w:type="pct"/>
            <w:textDirection w:val="lrTb"/>
            <w:noWrap w:val="false"/>
          </w:tcPr>
          <w:p>
            <w:pPr>
              <w:pStyle w:val="1316"/>
            </w:pPr>
            <w:r>
              <w:t xml:space="preserve">Полное наименование организации</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полное наименование организации.</w:t>
            </w:r>
            <w:r/>
          </w:p>
          <w:p>
            <w:pPr>
              <w:pStyle w:val="1316"/>
            </w:pPr>
            <w:r>
              <w:t xml:space="preserve">Заполняется автоматически.</w:t>
            </w:r>
            <w:r/>
          </w:p>
          <w:p>
            <w:pPr>
              <w:pStyle w:val="1316"/>
            </w:pPr>
            <w:r>
              <w:t xml:space="preserve">В случае отсутствия клиента в справочнике «Сводный реестр» – заполняется из справочника «ЕГРЮЛ» или вручную.</w:t>
            </w:r>
            <w:r/>
          </w:p>
          <w:p>
            <w:pPr>
              <w:pStyle w:val="1316"/>
            </w:pPr>
            <w:r>
              <w:t xml:space="preserve">Реквизит отображается, если реквизит «Тип клиента» = «ЮЛ» / «ОП ЮЛ» / «ОИнЮЛ»</w:t>
            </w:r>
            <w:r/>
          </w:p>
          <w:p>
            <w:pPr>
              <w:pStyle w:val="1316"/>
            </w:pPr>
            <w:r>
              <w:t xml:space="preserve">Если реквизит «Система-инициатор» ≠ «НСИ», заполняется автоматически</w:t>
            </w:r>
            <w:r/>
          </w:p>
        </w:tc>
      </w:tr>
      <w:tr>
        <w:tblPrEx/>
        <w:trPr/>
        <w:tc>
          <w:tcPr>
            <w:tcW w:w="959" w:type="pct"/>
            <w:textDirection w:val="lrTb"/>
            <w:noWrap w:val="false"/>
          </w:tcPr>
          <w:p>
            <w:pPr>
              <w:pStyle w:val="1316"/>
            </w:pPr>
            <w:r>
              <w:t xml:space="preserve">Сокращенное наименование организации (наименование на СФ: Сокращенное наименование клиента)</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Да</w:t>
            </w:r>
            <w:r/>
          </w:p>
        </w:tc>
        <w:tc>
          <w:tcPr>
            <w:tcW w:w="3011" w:type="pct"/>
            <w:textDirection w:val="lrTb"/>
            <w:noWrap w:val="false"/>
          </w:tcPr>
          <w:p>
            <w:pPr>
              <w:pStyle w:val="1316"/>
            </w:pPr>
            <w:r>
              <w:t xml:space="preserve">Указывается сокращенное наименование организации.</w:t>
            </w:r>
            <w:r/>
          </w:p>
          <w:p>
            <w:pPr>
              <w:pStyle w:val="1316"/>
            </w:pPr>
            <w:r>
              <w:t xml:space="preserve">Заполняется автоматически.</w:t>
            </w:r>
            <w:r/>
          </w:p>
          <w:p>
            <w:pPr>
              <w:pStyle w:val="1316"/>
            </w:pPr>
            <w:r>
              <w:t xml:space="preserve">В случае отсутствия клиента в справочнике «Сводный реестр» – заполняется из справочника «ЕГРЮЛ» или вручную. Если значение реквизита не указано из справочников «Сводный реестр», «ЕГРЮЛ», то заполняется автоматически при сохранении Заявки значением «-».</w:t>
            </w:r>
            <w:r/>
          </w:p>
          <w:p>
            <w:pPr>
              <w:pStyle w:val="1316"/>
            </w:pPr>
            <w:r>
              <w:t xml:space="preserve">Реквизит отображается, если реквизит «Тип клиента» = «ЮЛ» / «ОП ЮЛ» / «ОИнЮЛ»</w:t>
            </w:r>
            <w:r/>
          </w:p>
          <w:p>
            <w:pPr>
              <w:pStyle w:val="1316"/>
            </w:pPr>
            <w:r>
              <w:t xml:space="preserve">Если реквизит «Система-инициатор» ≠ «НСИ», заполняется автоматически</w:t>
            </w:r>
            <w:r/>
          </w:p>
        </w:tc>
      </w:tr>
      <w:tr>
        <w:tblPrEx/>
        <w:trPr/>
        <w:tc>
          <w:tcPr>
            <w:tcW w:w="959" w:type="pct"/>
            <w:textDirection w:val="lrTb"/>
            <w:noWrap w:val="false"/>
          </w:tcPr>
          <w:p>
            <w:pPr>
              <w:pStyle w:val="1316"/>
            </w:pPr>
            <w:r>
              <w:t xml:space="preserve">Фамилия</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фамилия главы ИП / КФХ.</w:t>
            </w:r>
            <w:r/>
          </w:p>
          <w:p>
            <w:pPr>
              <w:pStyle w:val="1316"/>
            </w:pPr>
            <w:r>
              <w:t xml:space="preserve">Заполняется автоматически.</w:t>
            </w:r>
            <w:r/>
          </w:p>
          <w:p>
            <w:pPr>
              <w:pStyle w:val="1316"/>
            </w:pPr>
            <w:r>
              <w:t xml:space="preserve">В случае отсутствия клиента в справочнике «Реестр ИП, КФХ» – заполняется из справочника «ЕГРИП» или вручную.</w:t>
            </w:r>
            <w:r/>
          </w:p>
          <w:p>
            <w:pPr>
              <w:pStyle w:val="1316"/>
            </w:pPr>
            <w:r>
              <w:t xml:space="preserve">Реквизит отображается, если реквизит «Тип клиента» = «ИП» / «КФХ» / «ФЛ»</w:t>
            </w:r>
            <w:r/>
          </w:p>
          <w:p>
            <w:pPr>
              <w:pStyle w:val="1316"/>
            </w:pPr>
            <w:r>
              <w:t xml:space="preserve">Если реквизит «Система-инициатор» ≠ «НСИ», заполняется автоматически</w:t>
            </w:r>
            <w:r/>
          </w:p>
        </w:tc>
      </w:tr>
      <w:tr>
        <w:tblPrEx/>
        <w:trPr/>
        <w:tc>
          <w:tcPr>
            <w:tcW w:w="959" w:type="pct"/>
            <w:textDirection w:val="lrTb"/>
            <w:noWrap w:val="false"/>
          </w:tcPr>
          <w:p>
            <w:pPr>
              <w:pStyle w:val="1316"/>
            </w:pPr>
            <w:r>
              <w:t xml:space="preserve">Имя</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имя главы ИП / КФХ.</w:t>
            </w:r>
            <w:r/>
          </w:p>
          <w:p>
            <w:pPr>
              <w:pStyle w:val="1316"/>
            </w:pPr>
            <w:r>
              <w:t xml:space="preserve">Заполняется автоматически.</w:t>
            </w:r>
            <w:r/>
          </w:p>
          <w:p>
            <w:pPr>
              <w:pStyle w:val="1316"/>
            </w:pPr>
            <w:r>
              <w:t xml:space="preserve">В случае отсутствия клиента в справочнике «Реестр ИП, КФХ» – заполняется из справочника «ЕГРИП» или вручную.</w:t>
            </w:r>
            <w:r/>
          </w:p>
          <w:p>
            <w:pPr>
              <w:pStyle w:val="1316"/>
            </w:pPr>
            <w:r>
              <w:t xml:space="preserve">Реквизит отображается, если реквизит «Тип клиента» = «ИП» / «КФХ» / «ФЛ»</w:t>
            </w:r>
            <w:r/>
          </w:p>
          <w:p>
            <w:pPr>
              <w:pStyle w:val="1316"/>
            </w:pPr>
            <w:r>
              <w:t xml:space="preserve">Если реквизит «Система-инициатор» ≠ «НСИ», заполняется автоматически</w:t>
            </w:r>
            <w:r/>
          </w:p>
        </w:tc>
      </w:tr>
      <w:tr>
        <w:tblPrEx/>
        <w:trPr/>
        <w:tc>
          <w:tcPr>
            <w:tcW w:w="959" w:type="pct"/>
            <w:textDirection w:val="lrTb"/>
            <w:noWrap w:val="false"/>
          </w:tcPr>
          <w:p>
            <w:pPr>
              <w:pStyle w:val="1316"/>
            </w:pPr>
            <w:r>
              <w:t xml:space="preserve">Отчество</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отчество главы ИП / КФХ (при наличии).</w:t>
            </w:r>
            <w:r/>
          </w:p>
          <w:p>
            <w:pPr>
              <w:pStyle w:val="1316"/>
            </w:pPr>
            <w:r>
              <w:t xml:space="preserve">Заполняется автоматически.</w:t>
            </w:r>
            <w:r/>
          </w:p>
          <w:p>
            <w:pPr>
              <w:pStyle w:val="1316"/>
            </w:pPr>
            <w:r>
              <w:t xml:space="preserve">В случае отсутствия клиента в справочнике «Реестр ИП, КФХ» – заполняется из справочника «ЕГРИП» или вручную.</w:t>
            </w:r>
            <w:r/>
          </w:p>
          <w:p>
            <w:pPr>
              <w:pStyle w:val="1316"/>
            </w:pPr>
            <w:r>
              <w:t xml:space="preserve">Реквизит отображается, если реквизит «Тип клиента» = «ИП» / «КФХ» / «ФЛ»</w:t>
            </w:r>
            <w:r/>
          </w:p>
          <w:p>
            <w:pPr>
              <w:pStyle w:val="1316"/>
            </w:pPr>
            <w:r>
              <w:t xml:space="preserve">Если реквизит «Система-инициатор» ≠ «НСИ», заполняется автоматически</w:t>
            </w:r>
            <w:r/>
          </w:p>
        </w:tc>
      </w:tr>
      <w:tr>
        <w:tblPrEx/>
        <w:trPr/>
        <w:tc>
          <w:tcPr>
            <w:tcW w:w="959" w:type="pct"/>
            <w:textDirection w:val="lrTb"/>
            <w:noWrap w:val="false"/>
          </w:tcPr>
          <w:p>
            <w:pPr>
              <w:pStyle w:val="1316"/>
            </w:pPr>
            <w:r>
              <w:t xml:space="preserve">КПП</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КПП клиента.</w:t>
            </w:r>
            <w:r/>
          </w:p>
          <w:p>
            <w:pPr>
              <w:pStyle w:val="1316"/>
            </w:pPr>
            <w:r>
              <w:t xml:space="preserve">Заполняется автоматически. </w:t>
            </w:r>
            <w:r/>
          </w:p>
          <w:p>
            <w:pPr>
              <w:pStyle w:val="1316"/>
            </w:pPr>
            <w:r>
              <w:t xml:space="preserve">Реквизит доступен для редактирования.</w:t>
            </w:r>
            <w:r/>
          </w:p>
          <w:p>
            <w:pPr>
              <w:pStyle w:val="1316"/>
            </w:pPr>
            <w:r>
              <w:t xml:space="preserve">В случае отсутствия клиента в справочнике «Сводный реестр» – заполняется из справочника «ЕГРЮЛ» или вручную.</w:t>
            </w:r>
            <w:r/>
          </w:p>
          <w:p>
            <w:pPr>
              <w:pStyle w:val="1316"/>
            </w:pPr>
            <w:r>
              <w:t xml:space="preserve">Если реквизит «Тип клиента» заполнен значениями «ФЛ», то реквизит «КПП» не доступен для заполнения</w:t>
            </w:r>
            <w:r/>
          </w:p>
          <w:p>
            <w:pPr>
              <w:pStyle w:val="1316"/>
            </w:pPr>
            <w:r>
              <w:t xml:space="preserve">Если реквизит «Система-инициатор» ≠ «НСИ», заполняется автоматически</w:t>
            </w:r>
            <w:r/>
          </w:p>
        </w:tc>
      </w:tr>
      <w:tr>
        <w:tblPrEx/>
        <w:trPr/>
        <w:tc>
          <w:tcPr>
            <w:tcW w:w="959" w:type="pct"/>
            <w:textDirection w:val="lrTb"/>
            <w:noWrap w:val="false"/>
          </w:tcPr>
          <w:p>
            <w:pPr>
              <w:pStyle w:val="1316"/>
            </w:pPr>
            <w:r>
              <w:t xml:space="preserve">ОГРН</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ОГРН клиента.</w:t>
            </w:r>
            <w:r/>
          </w:p>
          <w:p>
            <w:pPr>
              <w:pStyle w:val="1316"/>
            </w:pPr>
            <w:r>
              <w:t xml:space="preserve">Заполняется автоматически.</w:t>
            </w:r>
            <w:r/>
          </w:p>
          <w:p>
            <w:pPr>
              <w:pStyle w:val="1316"/>
            </w:pPr>
            <w:r>
              <w:t xml:space="preserve">В случае отсутствия клиента в справочнике «Сводный реестр» – заполняется из справочника «ЕГРЮЛ» или вручную.</w:t>
            </w:r>
            <w:r/>
          </w:p>
          <w:p>
            <w:pPr>
              <w:pStyle w:val="1316"/>
            </w:pPr>
            <w:r>
              <w:t xml:space="preserve">Реквизит отображается, если реквизит «Тип клиента» = «ЮЛ» / «ОП ЮЛ»</w:t>
            </w:r>
            <w:r/>
          </w:p>
          <w:p>
            <w:pPr>
              <w:pStyle w:val="1316"/>
            </w:pPr>
            <w:r>
              <w:t xml:space="preserve">Если реквизит «Система-инициатор» ≠ «НСИ», заполняется автоматически</w:t>
            </w:r>
            <w:r/>
          </w:p>
        </w:tc>
      </w:tr>
      <w:tr>
        <w:tblPrEx/>
        <w:trPr/>
        <w:tc>
          <w:tcPr>
            <w:tcW w:w="959" w:type="pct"/>
            <w:textDirection w:val="lrTb"/>
            <w:noWrap w:val="false"/>
          </w:tcPr>
          <w:p>
            <w:pPr>
              <w:pStyle w:val="1316"/>
            </w:pPr>
            <w:r>
              <w:t xml:space="preserve">ОГРНИП</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ОГРНИП клиента.</w:t>
            </w:r>
            <w:r/>
          </w:p>
          <w:p>
            <w:pPr>
              <w:pStyle w:val="1316"/>
            </w:pPr>
            <w:r>
              <w:t xml:space="preserve">Заполняется автоматически.</w:t>
            </w:r>
            <w:r/>
          </w:p>
          <w:p>
            <w:pPr>
              <w:pStyle w:val="1316"/>
            </w:pPr>
            <w:r>
              <w:t xml:space="preserve">В случае отсутствия клиента в справочнике «Реестр ИП, КФХ» – заполняется из справочника «ЕГРИП» или вручную.</w:t>
            </w:r>
            <w:r/>
          </w:p>
          <w:p>
            <w:pPr>
              <w:pStyle w:val="1316"/>
            </w:pPr>
            <w:r>
              <w:t xml:space="preserve">Реквизит отображается, если реквизит «Тип клиента» = «ИП» / «КФХ»</w:t>
            </w:r>
            <w:r/>
          </w:p>
          <w:p>
            <w:pPr>
              <w:pStyle w:val="1316"/>
            </w:pPr>
            <w:r>
              <w:t xml:space="preserve">Если реквизит «Система-инициатор» ≠ «НСИ», заполняется автоматически</w:t>
            </w:r>
            <w:r/>
          </w:p>
        </w:tc>
      </w:tr>
      <w:tr>
        <w:tblPrEx/>
        <w:trPr/>
        <w:tc>
          <w:tcPr>
            <w:tcW w:w="959" w:type="pct"/>
            <w:textDirection w:val="lrTb"/>
            <w:noWrap w:val="false"/>
          </w:tcPr>
          <w:p>
            <w:pPr>
              <w:pStyle w:val="1316"/>
            </w:pPr>
            <w:r>
              <w:t xml:space="preserve">ОКПО</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ОКПО клиента.</w:t>
            </w:r>
            <w:r/>
          </w:p>
          <w:p>
            <w:pPr>
              <w:pStyle w:val="1316"/>
            </w:pPr>
            <w:r>
              <w:t xml:space="preserve">Заполняется автоматически.</w:t>
            </w:r>
            <w:r/>
          </w:p>
          <w:p>
            <w:pPr>
              <w:pStyle w:val="1316"/>
            </w:pPr>
            <w:r>
              <w:t xml:space="preserve">Реквизит доступен для редактирования.</w:t>
            </w:r>
            <w:r/>
          </w:p>
          <w:p>
            <w:pPr>
              <w:pStyle w:val="1316"/>
            </w:pPr>
            <w:r>
              <w:t xml:space="preserve">Обязательно для заполнения если реквизит «Тип лицевого счета» ≠ 71 ИЛИ реквизит «Тип клиента» ≠ «ОП ЮЛ» / «ФЛ» / «ОИнЮЛ»</w:t>
            </w:r>
            <w:r/>
          </w:p>
          <w:p>
            <w:pPr>
              <w:pStyle w:val="1316"/>
            </w:pPr>
            <w:r>
              <w:t xml:space="preserve">Если реквизит «Система-инициатор» ≠ «НСИ», заполняется автоматически</w:t>
            </w:r>
            <w:r/>
          </w:p>
        </w:tc>
      </w:tr>
      <w:tr>
        <w:tblPrEx/>
        <w:trPr/>
        <w:tc>
          <w:tcPr>
            <w:tcW w:w="959" w:type="pct"/>
            <w:textDirection w:val="lrTb"/>
            <w:noWrap w:val="false"/>
          </w:tcPr>
          <w:p>
            <w:pPr>
              <w:pStyle w:val="1316"/>
            </w:pPr>
            <w:r>
              <w:t xml:space="preserve">Адрес электронной почты</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адрес электронной почты.</w:t>
            </w:r>
            <w:r/>
          </w:p>
          <w:p>
            <w:pPr>
              <w:pStyle w:val="1316"/>
            </w:pPr>
            <w:r>
              <w:t xml:space="preserve">Заполняется автоматически.</w:t>
            </w:r>
            <w:r/>
          </w:p>
          <w:p>
            <w:pPr>
              <w:pStyle w:val="1316"/>
            </w:pPr>
            <w:r>
              <w:t xml:space="preserve">Реквизит доступен для редактирования</w:t>
            </w:r>
            <w:r/>
          </w:p>
        </w:tc>
      </w:tr>
      <w:tr>
        <w:tblPrEx/>
        <w:trPr/>
        <w:tc>
          <w:tcPr>
            <w:gridSpan w:val="4"/>
            <w:shd w:val="clear" w:color="auto" w:fill="f2f2f2" w:themeFill="background1" w:themeFillShade="F2"/>
            <w:tcW w:w="5000" w:type="pct"/>
            <w:textDirection w:val="lrTb"/>
            <w:noWrap w:val="false"/>
          </w:tcPr>
          <w:p>
            <w:pPr>
              <w:pStyle w:val="1316"/>
              <w:rPr>
                <w:rStyle w:val="1312"/>
              </w:rPr>
            </w:pPr>
            <w:r>
              <w:rPr>
                <w:rStyle w:val="1312"/>
              </w:rPr>
              <w:t xml:space="preserve">Раздел «Дополнительные сведения о клиенте»</w:t>
            </w:r>
            <w:r>
              <w:rPr>
                <w:rStyle w:val="1312"/>
              </w:rPr>
            </w:r>
          </w:p>
        </w:tc>
      </w:tr>
      <w:tr>
        <w:tblPrEx/>
        <w:trPr/>
        <w:tc>
          <w:tcPr>
            <w:tcW w:w="959" w:type="pct"/>
            <w:textDirection w:val="lrTb"/>
            <w:noWrap w:val="false"/>
          </w:tcPr>
          <w:p>
            <w:pPr>
              <w:pStyle w:val="1316"/>
            </w:pPr>
            <w:r>
              <w:t xml:space="preserve">Глав. бух. отсутствует</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Да</w:t>
            </w:r>
            <w:r/>
          </w:p>
        </w:tc>
        <w:tc>
          <w:tcPr>
            <w:tcW w:w="3011" w:type="pct"/>
            <w:textDirection w:val="lrTb"/>
            <w:noWrap w:val="false"/>
          </w:tcPr>
          <w:p>
            <w:pPr>
              <w:pStyle w:val="1316"/>
            </w:pPr>
            <w:r>
              <w:t xml:space="preserve">Указывается признак отсутствия главного бухгалтера в организации клиента.</w:t>
            </w:r>
            <w:r/>
          </w:p>
          <w:p>
            <w:pPr>
              <w:pStyle w:val="1316"/>
            </w:pPr>
            <w:r>
              <w:t xml:space="preserve">Логический реквизит, по умолчанию принимает значение </w:t>
            </w:r>
            <w:r>
              <w:t xml:space="preserve">«Нет» (</w:t>
            </w:r>
            <w:r>
              <w:rPr>
                <w:lang w:val="en-US"/>
              </w:rPr>
              <w:t xml:space="preserve">false</w:t>
            </w:r>
            <w:r>
              <w:t xml:space="preserve">). </w:t>
            </w:r>
            <w:r/>
          </w:p>
          <w:p>
            <w:pPr>
              <w:pStyle w:val="1316"/>
            </w:pPr>
            <w:r>
              <w:t xml:space="preserve">Заполняется вручную пользователем. Если в организации Клиента нет главного бухгалтера, требуется установить значение «Да» (</w:t>
            </w:r>
            <w:r>
              <w:rPr>
                <w:lang w:val="en-US"/>
              </w:rPr>
              <w:t xml:space="preserve">true</w:t>
            </w:r>
            <w:r>
              <w:t xml:space="preserve">), поставить галку.</w:t>
            </w:r>
            <w:r/>
          </w:p>
          <w:p>
            <w:pPr>
              <w:pStyle w:val="1316"/>
              <w:rPr>
                <w:szCs w:val="22"/>
              </w:rPr>
            </w:pPr>
            <w:r>
              <w:rPr>
                <w:szCs w:val="22"/>
              </w:rPr>
              <w:t xml:space="preserve">Не доступен для заполнения, если «Тип клиента» (п. 21) = «ФЛ» или «ОИнЮЛ».</w:t>
            </w:r>
            <w:r>
              <w:rPr>
                <w:szCs w:val="22"/>
              </w:rPr>
            </w:r>
          </w:p>
          <w:p>
            <w:pPr>
              <w:pStyle w:val="1316"/>
            </w:pPr>
            <w:r>
              <w:t xml:space="preserve">Если реквизит «Тип заявки» = «Переоформление» или «Изменение», то заполняется автоматически значением реквизита «Глав. бух. отсутствует» родительской записи справочника «Книга регистрации лицевых счетов» Реквизит доступен для редактирования.</w:t>
            </w:r>
            <w:r/>
          </w:p>
          <w:p>
            <w:pPr>
              <w:pStyle w:val="1316"/>
            </w:pPr>
            <w:r>
              <w:t xml:space="preserve">Если реквизит «Тип заявки» = «Закрытие», то автоматически значением реквизита «Глав. бух. отсутствует» родительской записи справочника «Книга регистрации лицевых счетов» Реквизит не доступен для редактирования</w:t>
            </w:r>
            <w:r/>
          </w:p>
          <w:p>
            <w:pPr>
              <w:pStyle w:val="1316"/>
            </w:pPr>
            <w:r>
              <w:t xml:space="preserve">Если реквизит «Система-инициатор» ≠ «НСИ», заполняется автоматически</w:t>
            </w:r>
            <w:r/>
          </w:p>
        </w:tc>
      </w:tr>
      <w:tr>
        <w:tblPrEx/>
        <w:trPr/>
        <w:tc>
          <w:tcPr>
            <w:gridSpan w:val="4"/>
            <w:shd w:val="clear" w:color="auto" w:fill="f2f2f2" w:themeFill="background1" w:themeFillShade="F2"/>
            <w:tcW w:w="5000" w:type="pct"/>
            <w:textDirection w:val="lrTb"/>
            <w:noWrap w:val="false"/>
          </w:tcPr>
          <w:p>
            <w:pPr>
              <w:pStyle w:val="1316"/>
              <w:rPr>
                <w:rStyle w:val="1312"/>
              </w:rPr>
            </w:pPr>
            <w:r>
              <w:rPr>
                <w:rStyle w:val="1312"/>
              </w:rPr>
              <w:t xml:space="preserve">Подраздел «Сведения о месте нахождения клиента на территории Российской Федерации»</w:t>
            </w:r>
            <w:r>
              <w:rPr>
                <w:rStyle w:val="1312"/>
              </w:rPr>
            </w:r>
          </w:p>
          <w:p>
            <w:pPr>
              <w:pStyle w:val="1316"/>
              <w:rPr>
                <w:rStyle w:val="1312"/>
              </w:rPr>
            </w:pPr>
            <w:r>
              <w:t xml:space="preserve">Отображается, если реквизит «Тип Заявки» = «Резервирование» / «Открытие»</w:t>
            </w:r>
            <w:r>
              <w:rPr>
                <w:rStyle w:val="1312"/>
              </w:rPr>
            </w:r>
          </w:p>
        </w:tc>
      </w:tr>
      <w:tr>
        <w:tblPrEx/>
        <w:trPr/>
        <w:tc>
          <w:tcPr>
            <w:tcW w:w="959" w:type="pct"/>
            <w:textDirection w:val="lrTb"/>
            <w:noWrap w:val="false"/>
          </w:tcPr>
          <w:p>
            <w:pPr>
              <w:pStyle w:val="1316"/>
            </w:pPr>
            <w:r>
              <w:t xml:space="preserve">Код субъекта</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код субъекта.</w:t>
            </w:r>
            <w:r/>
          </w:p>
          <w:p>
            <w:pPr>
              <w:pStyle w:val="1316"/>
            </w:pPr>
            <w:r>
              <w:t xml:space="preserve">Заполняется автоматически.</w:t>
            </w:r>
            <w:r/>
          </w:p>
          <w:p>
            <w:pPr>
              <w:pStyle w:val="1316"/>
            </w:pPr>
            <w:r>
              <w:t xml:space="preserve">В случае отсутствия клиента в справочнике «Сводный реестр» / «Реестр ИП, КФХ» – заполняется из справочника «ЕГРЮЛ» / «ЕГРИП» или вручную если реквизит «Система-инициатор» = «НСИ; ЕИС». </w:t>
            </w:r>
            <w:r/>
          </w:p>
          <w:p>
            <w:pPr>
              <w:pStyle w:val="1316"/>
            </w:pPr>
            <w:r>
              <w:t xml:space="preserve">Реквизит доступен для з</w:t>
            </w:r>
            <w:r>
              <w:rPr>
                <w:rFonts w:ascii="Times New Roman CYR" w:hAnsi="Times New Roman CYR" w:cs="Times New Roman CYR"/>
                <w:szCs w:val="22"/>
              </w:rPr>
              <w:t xml:space="preserve">аполнения вручную пользователем из справочника «</w:t>
            </w:r>
            <w:r>
              <w:t xml:space="preserve">Субъекты РФ по КЛАДР</w:t>
            </w:r>
            <w:r>
              <w:rPr>
                <w:rFonts w:ascii="Times New Roman CYR" w:hAnsi="Times New Roman CYR" w:cs="Times New Roman CYR"/>
                <w:szCs w:val="22"/>
              </w:rPr>
              <w:t xml:space="preserve">»</w:t>
            </w:r>
            <w:r/>
          </w:p>
        </w:tc>
      </w:tr>
      <w:tr>
        <w:tblPrEx/>
        <w:trPr/>
        <w:tc>
          <w:tcPr>
            <w:tcW w:w="959" w:type="pct"/>
            <w:textDirection w:val="lrTb"/>
            <w:noWrap w:val="false"/>
          </w:tcPr>
          <w:p>
            <w:pPr>
              <w:pStyle w:val="1316"/>
            </w:pPr>
            <w:r>
              <w:t xml:space="preserve">Тип Субъекта</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тип субъекта.</w:t>
            </w:r>
            <w:r/>
          </w:p>
          <w:p>
            <w:pPr>
              <w:pStyle w:val="1316"/>
            </w:pPr>
            <w:r>
              <w:t xml:space="preserve">Заполняется автоматически.</w:t>
            </w:r>
            <w:r/>
          </w:p>
          <w:p>
            <w:pPr>
              <w:pStyle w:val="1316"/>
            </w:pPr>
            <w:r>
              <w:t xml:space="preserve">В случае отсутствия клиента в справочнике «Сводный реестр» / «Реестр ИП, КФХ» – заполняется из справочника «ЕГРЮЛ» / «ЕГРИП» или вручную если реквизит «Система-инициатор» = «НСИ; ЕИС». </w:t>
            </w:r>
            <w:r/>
          </w:p>
          <w:p>
            <w:pPr>
              <w:pStyle w:val="1316"/>
            </w:pPr>
            <w:r>
              <w:t xml:space="preserve">Реквизит доступен для з</w:t>
            </w:r>
            <w:r>
              <w:rPr>
                <w:rFonts w:ascii="Times New Roman CYR" w:hAnsi="Times New Roman CYR" w:cs="Times New Roman CYR"/>
                <w:szCs w:val="22"/>
              </w:rPr>
              <w:t xml:space="preserve">аполнения вручную пользователем из справочника «</w:t>
            </w:r>
            <w:r>
              <w:t xml:space="preserve">КЛАДР. Раздел 1</w:t>
            </w:r>
            <w:r>
              <w:rPr>
                <w:rFonts w:ascii="Times New Roman CYR" w:hAnsi="Times New Roman CYR" w:cs="Times New Roman CYR"/>
                <w:szCs w:val="22"/>
              </w:rPr>
              <w:t xml:space="preserve">»</w:t>
            </w:r>
            <w:r/>
          </w:p>
        </w:tc>
      </w:tr>
      <w:tr>
        <w:tblPrEx/>
        <w:trPr/>
        <w:tc>
          <w:tcPr>
            <w:tcW w:w="959" w:type="pct"/>
            <w:textDirection w:val="lrTb"/>
            <w:noWrap w:val="false"/>
          </w:tcPr>
          <w:p>
            <w:pPr>
              <w:pStyle w:val="1316"/>
            </w:pPr>
            <w:r>
              <w:t xml:space="preserve">Наименование субъекта</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наименование субъекта.</w:t>
            </w:r>
            <w:r/>
          </w:p>
          <w:p>
            <w:pPr>
              <w:pStyle w:val="1316"/>
            </w:pPr>
            <w:r>
              <w:t xml:space="preserve">Заполняется автоматически.</w:t>
            </w:r>
            <w:r/>
          </w:p>
          <w:p>
            <w:pPr>
              <w:pStyle w:val="1316"/>
            </w:pPr>
            <w:r>
              <w:t xml:space="preserve">В случае отсутствия клиента в справочнике «Сводный реестр» / «Реестр ИП, КФХ» – заполняется из справочника «ЕГРЮЛ» / «ЕГРИП» или вручную если реквизит «Система-инициатор» = «НСИ; ЕИС». </w:t>
            </w:r>
            <w:r/>
          </w:p>
          <w:p>
            <w:pPr>
              <w:pStyle w:val="1316"/>
            </w:pPr>
            <w:r>
              <w:t xml:space="preserve">Реквизит доступен для з</w:t>
            </w:r>
            <w:r>
              <w:rPr>
                <w:rFonts w:ascii="Times New Roman CYR" w:hAnsi="Times New Roman CYR" w:cs="Times New Roman CYR"/>
                <w:szCs w:val="22"/>
              </w:rPr>
              <w:t xml:space="preserve">аполнения вручную пользователем из справочника «</w:t>
            </w:r>
            <w:r>
              <w:t xml:space="preserve">КЛАДР. Раздел 1</w:t>
            </w:r>
            <w:r>
              <w:rPr>
                <w:rFonts w:ascii="Times New Roman CYR" w:hAnsi="Times New Roman CYR" w:cs="Times New Roman CYR"/>
                <w:szCs w:val="22"/>
              </w:rPr>
              <w:t xml:space="preserve">»</w:t>
            </w:r>
            <w:r/>
          </w:p>
        </w:tc>
      </w:tr>
      <w:tr>
        <w:tblPrEx/>
        <w:trPr/>
        <w:tc>
          <w:tcPr>
            <w:tcW w:w="959" w:type="pct"/>
            <w:textDirection w:val="lrTb"/>
            <w:noWrap w:val="false"/>
          </w:tcPr>
          <w:p>
            <w:pPr>
              <w:pStyle w:val="1316"/>
            </w:pPr>
            <w:r>
              <w:t xml:space="preserve">Почтовый индекс</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почтовый индекс.</w:t>
            </w:r>
            <w:r/>
          </w:p>
          <w:p>
            <w:pPr>
              <w:pStyle w:val="1316"/>
            </w:pPr>
            <w:r>
              <w:t xml:space="preserve">Заполняется автоматически.</w:t>
            </w:r>
            <w:r/>
          </w:p>
          <w:p>
            <w:pPr>
              <w:pStyle w:val="1316"/>
            </w:pPr>
            <w:r>
              <w:t xml:space="preserve">В случае отсутствия клиента в справочнике «Сводный ре</w:t>
            </w:r>
            <w:r>
              <w:t xml:space="preserve">естр» / «Реестр ИП, КФХ» – заполняется из справочника «ЕГРЮЛ» / «ЕГРИП» или вручную если реквизит «Система-инициатор» = «НСИ; ЕИС». </w:t>
            </w:r>
            <w:r/>
          </w:p>
          <w:p>
            <w:pPr>
              <w:pStyle w:val="1316"/>
            </w:pPr>
            <w:r>
              <w:t xml:space="preserve">Реквизит доступен для редактирования</w:t>
            </w:r>
            <w:r/>
          </w:p>
        </w:tc>
      </w:tr>
      <w:tr>
        <w:tblPrEx/>
        <w:trPr/>
        <w:tc>
          <w:tcPr>
            <w:tcW w:w="959" w:type="pct"/>
            <w:textDirection w:val="lrTb"/>
            <w:noWrap w:val="false"/>
          </w:tcPr>
          <w:p>
            <w:pPr>
              <w:pStyle w:val="1316"/>
            </w:pPr>
            <w:r>
              <w:t xml:space="preserve">Тип района</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тип района.</w:t>
            </w:r>
            <w:r/>
          </w:p>
          <w:p>
            <w:pPr>
              <w:pStyle w:val="1316"/>
            </w:pPr>
            <w:r>
              <w:t xml:space="preserve">Заполняется автоматически.</w:t>
            </w:r>
            <w:r/>
          </w:p>
          <w:p>
            <w:pPr>
              <w:pStyle w:val="1316"/>
            </w:pPr>
            <w:r>
              <w:t xml:space="preserve">В случае отсутствия клиента в справочнике «Сводный реестр» / «Реестр ИП, КФХ» – заполняется из справочника «ЕГРЮЛ» / «ЕГРИП» или вручную если реквизит «Система-инициатор» = «НСИ; ЕИС». </w:t>
            </w:r>
            <w:r/>
          </w:p>
          <w:p>
            <w:pPr>
              <w:pStyle w:val="1316"/>
            </w:pPr>
            <w:r>
              <w:t xml:space="preserve">Реквизит доступен для редактирования</w:t>
            </w:r>
            <w:r/>
          </w:p>
        </w:tc>
      </w:tr>
      <w:tr>
        <w:tblPrEx/>
        <w:trPr/>
        <w:tc>
          <w:tcPr>
            <w:tcW w:w="959" w:type="pct"/>
            <w:textDirection w:val="lrTb"/>
            <w:noWrap w:val="false"/>
          </w:tcPr>
          <w:p>
            <w:pPr>
              <w:pStyle w:val="1316"/>
            </w:pPr>
            <w:r>
              <w:t xml:space="preserve">Наименование района</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наименование района.</w:t>
            </w:r>
            <w:r/>
          </w:p>
          <w:p>
            <w:pPr>
              <w:pStyle w:val="1316"/>
            </w:pPr>
            <w:r>
              <w:t xml:space="preserve">Заполняется автоматически.</w:t>
            </w:r>
            <w:r/>
          </w:p>
          <w:p>
            <w:pPr>
              <w:pStyle w:val="1316"/>
            </w:pPr>
            <w:r>
              <w:t xml:space="preserve">В случае отсутствия клиента в справочнике «Сводный реестр» / «Реестр ИП, КФХ» – заполняется из справочника «ЕГРЮЛ» / «ЕГРИП» или вручную если реквизит «Система-инициатор» = «НСИ; ЕИС». </w:t>
            </w:r>
            <w:r/>
          </w:p>
          <w:p>
            <w:pPr>
              <w:pStyle w:val="1316"/>
            </w:pPr>
            <w:r>
              <w:t xml:space="preserve">Реквизит доступен для редактирования</w:t>
            </w:r>
            <w:r/>
          </w:p>
        </w:tc>
      </w:tr>
      <w:tr>
        <w:tblPrEx/>
        <w:trPr/>
        <w:tc>
          <w:tcPr>
            <w:tcW w:w="959" w:type="pct"/>
            <w:textDirection w:val="lrTb"/>
            <w:noWrap w:val="false"/>
          </w:tcPr>
          <w:p>
            <w:pPr>
              <w:pStyle w:val="1316"/>
            </w:pPr>
            <w:r>
              <w:t xml:space="preserve">Тип города</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тип города.</w:t>
            </w:r>
            <w:r/>
          </w:p>
          <w:p>
            <w:pPr>
              <w:pStyle w:val="1316"/>
            </w:pPr>
            <w:r>
              <w:t xml:space="preserve">Заполняется автоматически.</w:t>
            </w:r>
            <w:r/>
          </w:p>
          <w:p>
            <w:pPr>
              <w:pStyle w:val="1316"/>
            </w:pPr>
            <w:r>
              <w:t xml:space="preserve">В случае отсутствия клиента в справочнике «Сводный реестр» / «Реестр ИП, КФХ» – заполняется из справочника «ЕГРЮЛ» / «ЕГРИП» или вручную если реквизит «Система-инициатор» = «НСИ; ЕИС». </w:t>
            </w:r>
            <w:r/>
          </w:p>
          <w:p>
            <w:pPr>
              <w:pStyle w:val="1316"/>
            </w:pPr>
            <w:r>
              <w:t xml:space="preserve">Реквизит доступен для редактирования</w:t>
            </w:r>
            <w:r/>
          </w:p>
        </w:tc>
      </w:tr>
      <w:tr>
        <w:tblPrEx/>
        <w:trPr/>
        <w:tc>
          <w:tcPr>
            <w:tcW w:w="959" w:type="pct"/>
            <w:textDirection w:val="lrTb"/>
            <w:noWrap w:val="false"/>
          </w:tcPr>
          <w:p>
            <w:pPr>
              <w:pStyle w:val="1316"/>
            </w:pPr>
            <w:r>
              <w:t xml:space="preserve">Наименование города</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наименование города.</w:t>
            </w:r>
            <w:r/>
          </w:p>
          <w:p>
            <w:pPr>
              <w:pStyle w:val="1316"/>
            </w:pPr>
            <w:r>
              <w:t xml:space="preserve">Заполняется автоматически.</w:t>
            </w:r>
            <w:r/>
          </w:p>
          <w:p>
            <w:pPr>
              <w:pStyle w:val="1316"/>
            </w:pPr>
            <w:r>
              <w:t xml:space="preserve">В случае отсутствия клиента в справочнике «Сводный реестр» / «Реестр ИП, КФХ» – заполняется из справочника «ЕГРЮЛ» / «ЕГРИП» или вручную если реквизит «Система-инициатор» = «НСИ; ЕИС». </w:t>
            </w:r>
            <w:r/>
          </w:p>
          <w:p>
            <w:pPr>
              <w:pStyle w:val="1316"/>
            </w:pPr>
            <w:r>
              <w:t xml:space="preserve">Реквизит доступен для редактирования</w:t>
            </w:r>
            <w:r/>
          </w:p>
        </w:tc>
      </w:tr>
      <w:tr>
        <w:tblPrEx/>
        <w:trPr/>
        <w:tc>
          <w:tcPr>
            <w:tcW w:w="959" w:type="pct"/>
            <w:textDirection w:val="lrTb"/>
            <w:noWrap w:val="false"/>
          </w:tcPr>
          <w:p>
            <w:pPr>
              <w:pStyle w:val="1316"/>
            </w:pPr>
            <w:r>
              <w:t xml:space="preserve">Тип населенного пункта</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тип населенного пункта.</w:t>
            </w:r>
            <w:r/>
          </w:p>
          <w:p>
            <w:pPr>
              <w:pStyle w:val="1316"/>
            </w:pPr>
            <w:r>
              <w:t xml:space="preserve">Заполняется автоматически.</w:t>
            </w:r>
            <w:r/>
          </w:p>
          <w:p>
            <w:pPr>
              <w:pStyle w:val="1316"/>
            </w:pPr>
            <w:r>
              <w:t xml:space="preserve">В случае отсутствия клиента в справочнике «Сводный реестр» / «Реестр ИП, КФХ» – заполняется из справочника «ЕГРЮЛ» / «ЕГРИП» или вручную если реквизит «Система-инициатор» = «НСИ; ЕИС». </w:t>
            </w:r>
            <w:r/>
          </w:p>
          <w:p>
            <w:pPr>
              <w:pStyle w:val="1316"/>
            </w:pPr>
            <w:r>
              <w:t xml:space="preserve">Реквизит доступен для редактирования</w:t>
            </w:r>
            <w:r/>
          </w:p>
        </w:tc>
      </w:tr>
      <w:tr>
        <w:tblPrEx/>
        <w:trPr/>
        <w:tc>
          <w:tcPr>
            <w:tcW w:w="959" w:type="pct"/>
            <w:textDirection w:val="lrTb"/>
            <w:noWrap w:val="false"/>
          </w:tcPr>
          <w:p>
            <w:pPr>
              <w:pStyle w:val="1316"/>
            </w:pPr>
            <w:r>
              <w:t xml:space="preserve">Наименование населенного пункта</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наименование населенного пункта.</w:t>
            </w:r>
            <w:r/>
          </w:p>
          <w:p>
            <w:pPr>
              <w:pStyle w:val="1316"/>
            </w:pPr>
            <w:r>
              <w:t xml:space="preserve">Заполняется автоматически.</w:t>
            </w:r>
            <w:r/>
          </w:p>
          <w:p>
            <w:pPr>
              <w:pStyle w:val="1316"/>
            </w:pPr>
            <w:r>
              <w:t xml:space="preserve">В случае отсутствия клиента в справочнике «Сводный реестр» / «Реестр ИП, КФХ» – заполняется из справочника «ЕГРЮЛ» / «ЕГРИП» или вручную если реквизит «Система-инициатор» = «НСИ; ЕИС». </w:t>
            </w:r>
            <w:r/>
          </w:p>
          <w:p>
            <w:pPr>
              <w:pStyle w:val="1316"/>
            </w:pPr>
            <w:r>
              <w:t xml:space="preserve">Реквизит доступен для редактирования</w:t>
            </w:r>
            <w:r/>
          </w:p>
        </w:tc>
      </w:tr>
      <w:tr>
        <w:tblPrEx/>
        <w:trPr/>
        <w:tc>
          <w:tcPr>
            <w:tcW w:w="959" w:type="pct"/>
            <w:textDirection w:val="lrTb"/>
            <w:noWrap w:val="false"/>
          </w:tcPr>
          <w:p>
            <w:pPr>
              <w:pStyle w:val="1316"/>
            </w:pPr>
            <w:r>
              <w:t xml:space="preserve">Тип улицы</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тип улицы.</w:t>
            </w:r>
            <w:r/>
          </w:p>
          <w:p>
            <w:pPr>
              <w:pStyle w:val="1316"/>
            </w:pPr>
            <w:r>
              <w:t xml:space="preserve">Заполняется автоматически.</w:t>
            </w:r>
            <w:r/>
          </w:p>
          <w:p>
            <w:pPr>
              <w:pStyle w:val="1316"/>
            </w:pPr>
            <w:r>
              <w:t xml:space="preserve">В случае отсутствия клиента в справочнике «Сводный реестр» / «Реестр ИП, КФХ» – заполняется из справочника «ЕГРЮЛ» / «ЕГРИП» или вручную. </w:t>
            </w:r>
            <w:r/>
          </w:p>
          <w:p>
            <w:pPr>
              <w:pStyle w:val="1316"/>
            </w:pPr>
            <w:r>
              <w:t xml:space="preserve">Реквизит доступен для редактирования</w:t>
            </w:r>
            <w:r/>
          </w:p>
        </w:tc>
      </w:tr>
      <w:tr>
        <w:tblPrEx/>
        <w:trPr/>
        <w:tc>
          <w:tcPr>
            <w:tcW w:w="959" w:type="pct"/>
            <w:textDirection w:val="lrTb"/>
            <w:noWrap w:val="false"/>
          </w:tcPr>
          <w:p>
            <w:pPr>
              <w:pStyle w:val="1316"/>
            </w:pPr>
            <w:r>
              <w:t xml:space="preserve">Наименование улицы</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наименование улицы.</w:t>
            </w:r>
            <w:r/>
          </w:p>
          <w:p>
            <w:pPr>
              <w:pStyle w:val="1316"/>
            </w:pPr>
            <w:r>
              <w:t xml:space="preserve">Заполняется автоматически.</w:t>
            </w:r>
            <w:r/>
          </w:p>
          <w:p>
            <w:pPr>
              <w:pStyle w:val="1316"/>
            </w:pPr>
            <w:r>
              <w:t xml:space="preserve">В случае отсутствия клиента в справочнике «Сводный реестр» / «Реестр ИП, КФХ» – заполняется из справочника «ЕГРЮЛ» / «ЕГРИП» или вручную если реквизит «Система-инициатор» = «НСИ; ЕИС». </w:t>
            </w:r>
            <w:r/>
          </w:p>
          <w:p>
            <w:pPr>
              <w:pStyle w:val="1316"/>
            </w:pPr>
            <w:r>
              <w:t xml:space="preserve">Реквизит доступен для редактирования</w:t>
            </w:r>
            <w:r/>
          </w:p>
        </w:tc>
      </w:tr>
      <w:tr>
        <w:tblPrEx/>
        <w:trPr/>
        <w:tc>
          <w:tcPr>
            <w:tcW w:w="959" w:type="pct"/>
            <w:textDirection w:val="lrTb"/>
            <w:noWrap w:val="false"/>
          </w:tcPr>
          <w:p>
            <w:pPr>
              <w:pStyle w:val="1316"/>
            </w:pPr>
            <w:r>
              <w:t xml:space="preserve">Дом</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дом.</w:t>
            </w:r>
            <w:r/>
          </w:p>
          <w:p>
            <w:pPr>
              <w:pStyle w:val="1316"/>
            </w:pPr>
            <w:r>
              <w:t xml:space="preserve">Заполняется автоматически.</w:t>
            </w:r>
            <w:r/>
          </w:p>
          <w:p>
            <w:pPr>
              <w:pStyle w:val="1316"/>
            </w:pPr>
            <w:r>
              <w:t xml:space="preserve">В случае отсутствия клиента в справочнике «Сводный реестр» / «Реестр ИП, КФХ» – заполняется из справочника «ЕГРЮЛ» / «ЕГРИП» или вручную если реквизит «Система-инициатор» = «НСИ; ЕИС». </w:t>
            </w:r>
            <w:r/>
          </w:p>
          <w:p>
            <w:pPr>
              <w:pStyle w:val="1316"/>
            </w:pPr>
            <w:r>
              <w:t xml:space="preserve">Реквизит доступен для редактирования</w:t>
            </w:r>
            <w:r/>
          </w:p>
        </w:tc>
      </w:tr>
      <w:tr>
        <w:tblPrEx/>
        <w:trPr/>
        <w:tc>
          <w:tcPr>
            <w:tcW w:w="959" w:type="pct"/>
            <w:textDirection w:val="lrTb"/>
            <w:noWrap w:val="false"/>
          </w:tcPr>
          <w:p>
            <w:pPr>
              <w:pStyle w:val="1316"/>
            </w:pPr>
            <w:r>
              <w:t xml:space="preserve">Корпус/Строение</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корпус / строение.</w:t>
            </w:r>
            <w:r/>
          </w:p>
          <w:p>
            <w:pPr>
              <w:pStyle w:val="1316"/>
            </w:pPr>
            <w:r>
              <w:t xml:space="preserve">Заполняется автоматически.</w:t>
            </w:r>
            <w:r/>
          </w:p>
          <w:p>
            <w:pPr>
              <w:pStyle w:val="1316"/>
            </w:pPr>
            <w:r>
              <w:t xml:space="preserve">В случае отсутствия клиента в справочнике «Сводный реестр» / «Реестр ИП, КФХ» – заполняется из справочника «ЕГРЮЛ» / «ЕГРИП» или вручную если реквизит «Система-инициатор» = «НСИ; ЕИС». </w:t>
            </w:r>
            <w:r/>
          </w:p>
          <w:p>
            <w:pPr>
              <w:pStyle w:val="1316"/>
            </w:pPr>
            <w:r>
              <w:t xml:space="preserve">Реквизит доступен для редактирования</w:t>
            </w:r>
            <w:r/>
          </w:p>
        </w:tc>
      </w:tr>
      <w:tr>
        <w:tblPrEx/>
        <w:trPr/>
        <w:tc>
          <w:tcPr>
            <w:tcW w:w="959" w:type="pct"/>
            <w:textDirection w:val="lrTb"/>
            <w:noWrap w:val="false"/>
          </w:tcPr>
          <w:p>
            <w:pPr>
              <w:pStyle w:val="1316"/>
            </w:pPr>
            <w:r>
              <w:t xml:space="preserve">Квартира/Офис</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квартира / офис.</w:t>
            </w:r>
            <w:r/>
          </w:p>
          <w:p>
            <w:pPr>
              <w:pStyle w:val="1316"/>
            </w:pPr>
            <w:r>
              <w:t xml:space="preserve">Заполняется автоматически.</w:t>
            </w:r>
            <w:r/>
          </w:p>
          <w:p>
            <w:pPr>
              <w:pStyle w:val="1316"/>
            </w:pPr>
            <w:r>
              <w:t xml:space="preserve">В случае отсутствия клиента в справочнике «Сводный реестр» / «Реестр ИП, КФХ» – заполняется из справочника «ЕГРЮЛ» / «ЕГРИП» или вручную если реквизит «Система-инициатор» = «НСИ; ЕИС». </w:t>
            </w:r>
            <w:r/>
          </w:p>
          <w:p>
            <w:pPr>
              <w:pStyle w:val="1316"/>
            </w:pPr>
            <w:r>
              <w:t xml:space="preserve">Реквизит доступен для редактирования</w:t>
            </w:r>
            <w:r/>
          </w:p>
        </w:tc>
      </w:tr>
      <w:tr>
        <w:tblPrEx/>
        <w:trPr/>
        <w:tc>
          <w:tcPr>
            <w:gridSpan w:val="4"/>
            <w:shd w:val="clear" w:color="auto" w:fill="f2f2f2" w:themeFill="background1" w:themeFillShade="F2"/>
            <w:tcW w:w="5000" w:type="pct"/>
            <w:textDirection w:val="lrTb"/>
            <w:noWrap w:val="false"/>
          </w:tcPr>
          <w:p>
            <w:pPr>
              <w:pStyle w:val="1316"/>
              <w:rPr>
                <w:rStyle w:val="1312"/>
              </w:rPr>
            </w:pPr>
            <w:r>
              <w:rPr>
                <w:rStyle w:val="1312"/>
              </w:rPr>
              <w:t xml:space="preserve">Подраздел «Информация о руководителе организации»</w:t>
            </w:r>
            <w:r>
              <w:rPr>
                <w:rStyle w:val="1312"/>
              </w:rPr>
            </w:r>
          </w:p>
          <w:p>
            <w:pPr>
              <w:pStyle w:val="1316"/>
              <w:rPr>
                <w:rStyle w:val="1312"/>
              </w:rPr>
            </w:pPr>
            <w:r>
              <w:t xml:space="preserve">Раздел отображается, если реквизит «Система-инициатор» = «ЕИС» И реквизит «</w:t>
            </w:r>
            <w:r>
              <w:rPr>
                <w:szCs w:val="22"/>
              </w:rPr>
              <w:t xml:space="preserve">Тип </w:t>
            </w:r>
            <w:r>
              <w:t xml:space="preserve">Заявки» = «Резервирование» И реквизит «Тип клиента» = «ЮЛ»</w:t>
            </w:r>
            <w:r>
              <w:rPr>
                <w:rStyle w:val="1312"/>
              </w:rPr>
            </w:r>
          </w:p>
        </w:tc>
      </w:tr>
      <w:tr>
        <w:tblPrEx/>
        <w:trPr/>
        <w:tc>
          <w:tcPr>
            <w:tcW w:w="959" w:type="pct"/>
            <w:textDirection w:val="lrTb"/>
            <w:noWrap w:val="false"/>
          </w:tcPr>
          <w:p>
            <w:pPr>
              <w:pStyle w:val="1316"/>
            </w:pPr>
            <w:r>
              <w:rPr>
                <w:szCs w:val="22"/>
              </w:rPr>
              <w:t xml:space="preserve">Фамилия</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фамилия руководителя организации.</w:t>
            </w:r>
            <w:r/>
          </w:p>
          <w:p>
            <w:pPr>
              <w:pStyle w:val="1316"/>
            </w:pPr>
            <w:r>
              <w:t xml:space="preserve">Заполняется автоматически на основании документа «Заявление на резервирование (открытие) лицевого счета», полученного из ЕИС</w:t>
            </w:r>
            <w:r/>
          </w:p>
        </w:tc>
      </w:tr>
      <w:tr>
        <w:tblPrEx/>
        <w:trPr/>
        <w:tc>
          <w:tcPr>
            <w:tcW w:w="959" w:type="pct"/>
            <w:textDirection w:val="lrTb"/>
            <w:noWrap w:val="false"/>
          </w:tcPr>
          <w:p>
            <w:pPr>
              <w:pStyle w:val="1316"/>
            </w:pPr>
            <w:r>
              <w:rPr>
                <w:szCs w:val="22"/>
              </w:rPr>
              <w:t xml:space="preserve">Имя</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имя руководителя организации.</w:t>
            </w:r>
            <w:r/>
          </w:p>
          <w:p>
            <w:pPr>
              <w:pStyle w:val="1316"/>
            </w:pPr>
            <w:r>
              <w:t xml:space="preserve">Заполняется автоматически на основании документа «Заявление на резервирование (открытие) лицевого счета», полученного из ЕИС</w:t>
            </w:r>
            <w:r/>
          </w:p>
        </w:tc>
      </w:tr>
      <w:tr>
        <w:tblPrEx/>
        <w:trPr/>
        <w:tc>
          <w:tcPr>
            <w:tcW w:w="959" w:type="pct"/>
            <w:textDirection w:val="lrTb"/>
            <w:noWrap w:val="false"/>
          </w:tcPr>
          <w:p>
            <w:pPr>
              <w:pStyle w:val="1316"/>
            </w:pPr>
            <w:r>
              <w:rPr>
                <w:szCs w:val="22"/>
              </w:rPr>
              <w:t xml:space="preserve">Отчество</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отчество руководителя организации.</w:t>
            </w:r>
            <w:r/>
          </w:p>
          <w:p>
            <w:pPr>
              <w:pStyle w:val="1316"/>
            </w:pPr>
            <w:r>
              <w:t xml:space="preserve">Заполняется автоматически на основании документа «Заявление на резервирование (открытие) лицевого счета», полученного из ЕИС</w:t>
            </w:r>
            <w:r/>
          </w:p>
        </w:tc>
      </w:tr>
      <w:tr>
        <w:tblPrEx/>
        <w:trPr/>
        <w:tc>
          <w:tcPr>
            <w:tcW w:w="959" w:type="pct"/>
            <w:textDirection w:val="lrTb"/>
            <w:noWrap w:val="false"/>
          </w:tcPr>
          <w:p>
            <w:pPr>
              <w:pStyle w:val="1316"/>
            </w:pPr>
            <w:r>
              <w:rPr>
                <w:szCs w:val="22"/>
              </w:rPr>
              <w:t xml:space="preserve">Должность</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должность руководителя организации.</w:t>
            </w:r>
            <w:r/>
          </w:p>
          <w:p>
            <w:pPr>
              <w:pStyle w:val="1316"/>
            </w:pPr>
            <w:r>
              <w:t xml:space="preserve">Заполняется автоматически на основании документа «Заявление на резервирование (открытие) лицевого счета», полученного из ЕИС</w:t>
            </w:r>
            <w:r/>
          </w:p>
        </w:tc>
      </w:tr>
      <w:tr>
        <w:tblPrEx/>
        <w:trPr/>
        <w:tc>
          <w:tcPr>
            <w:tcW w:w="959" w:type="pct"/>
            <w:textDirection w:val="lrTb"/>
            <w:noWrap w:val="false"/>
          </w:tcPr>
          <w:p>
            <w:pPr>
              <w:pStyle w:val="1316"/>
            </w:pPr>
            <w:r>
              <w:rPr>
                <w:szCs w:val="22"/>
              </w:rPr>
              <w:t xml:space="preserve">Первое лицо</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признак первого лица.</w:t>
            </w:r>
            <w:r/>
          </w:p>
          <w:p>
            <w:pPr>
              <w:pStyle w:val="1316"/>
            </w:pPr>
            <w:r>
              <w:t xml:space="preserve">Заполняется автоматически на основании документа «Заявление на резервирование (открытие) лицевого счета», полученного из ЕИС.</w:t>
            </w:r>
            <w:r/>
          </w:p>
          <w:p>
            <w:pPr>
              <w:pStyle w:val="1316"/>
            </w:pPr>
            <w:r>
              <w:rPr>
                <w:szCs w:val="22"/>
              </w:rPr>
              <w:t xml:space="preserve">В многозаписной группе «Руководители с правом подписи» может быть только одна строка, в которой признак «Первое лицо» имеет логическое значение «Да». По умолчанию признак установлен на первой строке</w:t>
            </w:r>
            <w:r/>
          </w:p>
        </w:tc>
      </w:tr>
      <w:tr>
        <w:tblPrEx/>
        <w:trPr/>
        <w:tc>
          <w:tcPr>
            <w:tcW w:w="959" w:type="pct"/>
            <w:textDirection w:val="lrTb"/>
            <w:noWrap w:val="false"/>
          </w:tcPr>
          <w:p>
            <w:pPr>
              <w:pStyle w:val="1316"/>
            </w:pPr>
            <w:r>
              <w:rPr>
                <w:szCs w:val="22"/>
              </w:rPr>
              <w:t xml:space="preserve">ИНН </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ИНН руководителя организации.</w:t>
            </w:r>
            <w:r/>
          </w:p>
          <w:p>
            <w:pPr>
              <w:pStyle w:val="1316"/>
            </w:pPr>
            <w:r>
              <w:t xml:space="preserve">Заполняется автоматически на основании документа «Заявление на резервирование (открытие) лицевого счета», полученного из ЕИС</w:t>
            </w:r>
            <w:r/>
          </w:p>
        </w:tc>
      </w:tr>
      <w:tr>
        <w:tblPrEx/>
        <w:trPr/>
        <w:tc>
          <w:tcPr>
            <w:tcW w:w="959" w:type="pct"/>
            <w:textDirection w:val="lrTb"/>
            <w:noWrap w:val="false"/>
          </w:tcPr>
          <w:p>
            <w:pPr>
              <w:pStyle w:val="1316"/>
            </w:pPr>
            <w:r>
              <w:rPr>
                <w:szCs w:val="22"/>
              </w:rPr>
              <w:t xml:space="preserve">СНИЛС</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СНИЛС руководителя организации.</w:t>
            </w:r>
            <w:r/>
          </w:p>
          <w:p>
            <w:pPr>
              <w:pStyle w:val="1316"/>
            </w:pPr>
            <w:r>
              <w:t xml:space="preserve">Заполняется автоматически на основании документа «Заявление на резервирование (открытие) лицевого счета», полученного из ЕИС</w:t>
            </w:r>
            <w:r/>
          </w:p>
        </w:tc>
      </w:tr>
      <w:tr>
        <w:tblPrEx/>
        <w:trPr/>
        <w:tc>
          <w:tcPr>
            <w:tcW w:w="959" w:type="pct"/>
            <w:textDirection w:val="lrTb"/>
            <w:noWrap w:val="false"/>
          </w:tcPr>
          <w:p>
            <w:pPr>
              <w:pStyle w:val="1316"/>
            </w:pPr>
            <w:r>
              <w:rPr>
                <w:szCs w:val="22"/>
              </w:rPr>
              <w:t xml:space="preserve">Телефон</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телефон руководителя организации.</w:t>
            </w:r>
            <w:r/>
          </w:p>
          <w:p>
            <w:pPr>
              <w:pStyle w:val="1316"/>
            </w:pPr>
            <w:r>
              <w:t xml:space="preserve">Заполняется автоматически на основании документа «Заявление на резервирование (открытие) лицевого счета», полученного из ЕИС</w:t>
            </w:r>
            <w:r/>
          </w:p>
        </w:tc>
      </w:tr>
      <w:tr>
        <w:tblPrEx/>
        <w:trPr/>
        <w:tc>
          <w:tcPr>
            <w:gridSpan w:val="4"/>
            <w:shd w:val="clear" w:color="auto" w:fill="f2f2f2" w:themeFill="background1" w:themeFillShade="F2"/>
            <w:tcW w:w="5000" w:type="pct"/>
            <w:textDirection w:val="lrTb"/>
            <w:noWrap w:val="false"/>
          </w:tcPr>
          <w:p>
            <w:pPr>
              <w:pStyle w:val="1316"/>
              <w:rPr>
                <w:rStyle w:val="1312"/>
              </w:rPr>
            </w:pPr>
            <w:r>
              <w:rPr>
                <w:rStyle w:val="1312"/>
              </w:rPr>
              <w:t xml:space="preserve">Подраздел «Информация о главном бухгалтере»</w:t>
            </w:r>
            <w:r>
              <w:rPr>
                <w:rStyle w:val="1312"/>
              </w:rPr>
            </w:r>
          </w:p>
          <w:p>
            <w:pPr>
              <w:pStyle w:val="1316"/>
              <w:rPr>
                <w:rStyle w:val="1312"/>
              </w:rPr>
            </w:pPr>
            <w:r>
              <w:t xml:space="preserve">Отображается, если реквизит «</w:t>
            </w:r>
            <w:r>
              <w:rPr>
                <w:szCs w:val="22"/>
              </w:rPr>
              <w:t xml:space="preserve">Система-инициатор</w:t>
            </w:r>
            <w:r>
              <w:t xml:space="preserve">» = «ЕИС» И реквизит «Тип Заявки» = «Резервирование» И реквизит «Тип клиента» = «ИП» / «КФХ»</w:t>
            </w:r>
            <w:r>
              <w:rPr>
                <w:rStyle w:val="1312"/>
              </w:rPr>
            </w:r>
          </w:p>
        </w:tc>
      </w:tr>
      <w:tr>
        <w:tblPrEx/>
        <w:trPr/>
        <w:tc>
          <w:tcPr>
            <w:tcW w:w="959" w:type="pct"/>
            <w:textDirection w:val="lrTb"/>
            <w:noWrap w:val="false"/>
          </w:tcPr>
          <w:p>
            <w:pPr>
              <w:pStyle w:val="1316"/>
            </w:pPr>
            <w:r>
              <w:rPr>
                <w:szCs w:val="22"/>
              </w:rPr>
              <w:t xml:space="preserve">Фамилия</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фамилия главного бухгалтера.</w:t>
            </w:r>
            <w:r/>
          </w:p>
          <w:p>
            <w:pPr>
              <w:pStyle w:val="1316"/>
            </w:pPr>
            <w:r>
              <w:t xml:space="preserve">Заполняется автоматически на основании документа «Заявление на резервирование (открытие) лицевого счета», полученного из ЕИС</w:t>
            </w:r>
            <w:r/>
          </w:p>
        </w:tc>
      </w:tr>
      <w:tr>
        <w:tblPrEx/>
        <w:trPr/>
        <w:tc>
          <w:tcPr>
            <w:tcW w:w="959" w:type="pct"/>
            <w:textDirection w:val="lrTb"/>
            <w:noWrap w:val="false"/>
          </w:tcPr>
          <w:p>
            <w:pPr>
              <w:pStyle w:val="1316"/>
            </w:pPr>
            <w:r>
              <w:rPr>
                <w:szCs w:val="22"/>
              </w:rPr>
              <w:t xml:space="preserve">Имя</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имя главного бухгалтера.</w:t>
            </w:r>
            <w:r/>
          </w:p>
          <w:p>
            <w:pPr>
              <w:pStyle w:val="1316"/>
            </w:pPr>
            <w:r>
              <w:t xml:space="preserve">Заполняется автоматически на основании документа «Заявление на резервирование (открытие) лицевого счета», полученного из ЕИС</w:t>
            </w:r>
            <w:r/>
          </w:p>
        </w:tc>
      </w:tr>
      <w:tr>
        <w:tblPrEx/>
        <w:trPr/>
        <w:tc>
          <w:tcPr>
            <w:tcW w:w="959" w:type="pct"/>
            <w:textDirection w:val="lrTb"/>
            <w:noWrap w:val="false"/>
          </w:tcPr>
          <w:p>
            <w:pPr>
              <w:pStyle w:val="1316"/>
            </w:pPr>
            <w:r>
              <w:rPr>
                <w:szCs w:val="22"/>
              </w:rPr>
              <w:t xml:space="preserve">Отчество</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отчество главного бухгалтера.</w:t>
            </w:r>
            <w:r/>
          </w:p>
          <w:p>
            <w:pPr>
              <w:pStyle w:val="1316"/>
            </w:pPr>
            <w:r>
              <w:t xml:space="preserve">Заполняется автоматически на основании документа «Заявление на резервирование (открытие) лицевого счета», полученного из ЕИС</w:t>
            </w:r>
            <w:r/>
          </w:p>
        </w:tc>
      </w:tr>
      <w:tr>
        <w:tblPrEx/>
        <w:trPr/>
        <w:tc>
          <w:tcPr>
            <w:tcW w:w="959" w:type="pct"/>
            <w:textDirection w:val="lrTb"/>
            <w:noWrap w:val="false"/>
          </w:tcPr>
          <w:p>
            <w:pPr>
              <w:pStyle w:val="1316"/>
            </w:pPr>
            <w:r>
              <w:rPr>
                <w:szCs w:val="22"/>
              </w:rPr>
              <w:t xml:space="preserve">Должность</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должность главного бухгалтера.</w:t>
            </w:r>
            <w:r/>
          </w:p>
          <w:p>
            <w:pPr>
              <w:pStyle w:val="1316"/>
            </w:pPr>
            <w:r>
              <w:t xml:space="preserve">Заполняется автоматически на основании документа «Заявление на резервирование (открытие) лицевого счета», полученного из ЕИС</w:t>
            </w:r>
            <w:r/>
          </w:p>
        </w:tc>
      </w:tr>
      <w:tr>
        <w:tblPrEx/>
        <w:trPr/>
        <w:tc>
          <w:tcPr>
            <w:tcW w:w="959" w:type="pct"/>
            <w:textDirection w:val="lrTb"/>
            <w:noWrap w:val="false"/>
          </w:tcPr>
          <w:p>
            <w:pPr>
              <w:pStyle w:val="1316"/>
            </w:pPr>
            <w:r>
              <w:rPr>
                <w:szCs w:val="22"/>
              </w:rPr>
              <w:t xml:space="preserve">ИНН </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ИНН главного бухгалтера.</w:t>
            </w:r>
            <w:r/>
          </w:p>
          <w:p>
            <w:pPr>
              <w:pStyle w:val="1316"/>
            </w:pPr>
            <w:r>
              <w:t xml:space="preserve">Заполняется автоматически на основании документа «Заявление на резервирование (открытие) лицевого счета», полученного из ЕИС</w:t>
            </w:r>
            <w:r/>
          </w:p>
        </w:tc>
      </w:tr>
      <w:tr>
        <w:tblPrEx/>
        <w:trPr/>
        <w:tc>
          <w:tcPr>
            <w:tcW w:w="959" w:type="pct"/>
            <w:textDirection w:val="lrTb"/>
            <w:noWrap w:val="false"/>
          </w:tcPr>
          <w:p>
            <w:pPr>
              <w:pStyle w:val="1316"/>
            </w:pPr>
            <w:r>
              <w:rPr>
                <w:szCs w:val="22"/>
              </w:rPr>
              <w:t xml:space="preserve">СНИЛС</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СНИЛС главного бухгалтера.</w:t>
            </w:r>
            <w:r/>
          </w:p>
          <w:p>
            <w:pPr>
              <w:pStyle w:val="1316"/>
            </w:pPr>
            <w:r>
              <w:t xml:space="preserve">Заполняется автоматически на основании документа «Заявление на резервирование (открытие) лицевого счета», полученного из ЕИС</w:t>
            </w:r>
            <w:r/>
          </w:p>
        </w:tc>
      </w:tr>
      <w:tr>
        <w:tblPrEx/>
        <w:trPr/>
        <w:tc>
          <w:tcPr>
            <w:tcW w:w="959" w:type="pct"/>
            <w:textDirection w:val="lrTb"/>
            <w:noWrap w:val="false"/>
          </w:tcPr>
          <w:p>
            <w:pPr>
              <w:pStyle w:val="1316"/>
            </w:pPr>
            <w:r>
              <w:rPr>
                <w:szCs w:val="22"/>
              </w:rPr>
              <w:t xml:space="preserve">Телефон</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телефон главного бухгалтера.</w:t>
            </w:r>
            <w:r/>
          </w:p>
          <w:p>
            <w:pPr>
              <w:pStyle w:val="1316"/>
            </w:pPr>
            <w:r>
              <w:t xml:space="preserve">Заполняется автоматически на основании документа «Заявление на резервирование (открытие) лицевого счета», полученного из ЕИС</w:t>
            </w:r>
            <w:r/>
          </w:p>
        </w:tc>
      </w:tr>
      <w:tr>
        <w:tblPrEx/>
        <w:trPr/>
        <w:tc>
          <w:tcPr>
            <w:gridSpan w:val="4"/>
            <w:shd w:val="clear" w:color="auto" w:fill="f2f2f2" w:themeFill="background1" w:themeFillShade="F2"/>
            <w:tcW w:w="5000" w:type="pct"/>
            <w:textDirection w:val="lrTb"/>
            <w:noWrap w:val="false"/>
          </w:tcPr>
          <w:p>
            <w:pPr>
              <w:pStyle w:val="1316"/>
              <w:rPr>
                <w:rStyle w:val="1312"/>
              </w:rPr>
            </w:pPr>
            <w:r>
              <w:rPr>
                <w:rStyle w:val="1312"/>
              </w:rPr>
              <w:t xml:space="preserve">Раздел «Сведения о лицевом счете»</w:t>
            </w:r>
            <w:r>
              <w:rPr>
                <w:rStyle w:val="1312"/>
              </w:rPr>
            </w:r>
          </w:p>
        </w:tc>
      </w:tr>
      <w:tr>
        <w:tblPrEx/>
        <w:trPr/>
        <w:tc>
          <w:tcPr>
            <w:tcW w:w="959" w:type="pct"/>
            <w:textDirection w:val="lrTb"/>
            <w:noWrap w:val="false"/>
          </w:tcPr>
          <w:p>
            <w:pPr>
              <w:pStyle w:val="1316"/>
            </w:pPr>
            <w:r>
              <w:t xml:space="preserve">Номер лицевого счета</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Да</w:t>
            </w:r>
            <w:r/>
          </w:p>
        </w:tc>
        <w:tc>
          <w:tcPr>
            <w:tcW w:w="3011" w:type="pct"/>
            <w:textDirection w:val="lrTb"/>
            <w:noWrap w:val="false"/>
          </w:tcPr>
          <w:p>
            <w:pPr>
              <w:pStyle w:val="1316"/>
            </w:pPr>
            <w:r>
              <w:t xml:space="preserve">Указывается номер лицевого счета.</w:t>
            </w:r>
            <w:r/>
          </w:p>
          <w:p>
            <w:pPr>
              <w:pStyle w:val="1316"/>
            </w:pPr>
            <w:r>
              <w:t xml:space="preserve">Заполняется автоматически</w:t>
            </w:r>
            <w:r/>
          </w:p>
        </w:tc>
      </w:tr>
      <w:tr>
        <w:tblPrEx/>
        <w:trPr/>
        <w:tc>
          <w:tcPr>
            <w:tcW w:w="959" w:type="pct"/>
            <w:textDirection w:val="lrTb"/>
            <w:noWrap w:val="false"/>
          </w:tcPr>
          <w:p>
            <w:pPr>
              <w:pStyle w:val="1316"/>
            </w:pPr>
            <w:r>
              <w:t xml:space="preserve">Дата открытия</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дата открытия.</w:t>
            </w:r>
            <w:r/>
          </w:p>
          <w:p>
            <w:pPr>
              <w:pStyle w:val="1316"/>
            </w:pPr>
            <w:r>
              <w:t xml:space="preserve">Заполняется автоматически текущей датой.</w:t>
            </w:r>
            <w:r/>
          </w:p>
          <w:p>
            <w:pPr>
              <w:pStyle w:val="1316"/>
            </w:pPr>
            <w:r>
              <w:t xml:space="preserve">Если </w:t>
            </w:r>
            <w:r>
              <w:rPr>
                <w:szCs w:val="22"/>
              </w:rPr>
              <w:t xml:space="preserve">реквизит «Тип заявления» = </w:t>
            </w:r>
            <w:r>
              <w:t xml:space="preserve">«Открытие», т</w:t>
            </w:r>
            <w:r>
              <w:t xml:space="preserve">о для типа л/с не участвующего в проверке бюджетного мониторинга (т.е. все л/с, кроме л/с типа 41, 71), доступен для редактирования (реализована возможность указать дату будущего периода, тогда открытие лицевого счета будет осуществлять отложенной датой). </w:t>
            </w:r>
            <w:r/>
          </w:p>
          <w:p>
            <w:pPr>
              <w:pStyle w:val="1316"/>
            </w:pPr>
            <w:r>
              <w:rPr>
                <w:szCs w:val="22"/>
              </w:rPr>
              <w:t xml:space="preserve">Если реквизит «Тип заявления» = «Изменение» / «Переоформление» / «Закрытие», то заполняется значением реквизита «Дата открытия» записи справочника «Книга регистрации лицевых счетов» </w:t>
            </w:r>
            <w:r/>
          </w:p>
          <w:p>
            <w:pPr>
              <w:pStyle w:val="1316"/>
            </w:pPr>
            <w:r>
              <w:t xml:space="preserve">Не отображается и не заполняется, если реквизит «Тип заявления» = «Резервирование»</w:t>
            </w:r>
            <w:r/>
          </w:p>
          <w:p>
            <w:pPr>
              <w:pStyle w:val="1316"/>
            </w:pPr>
            <w:r>
              <w:t xml:space="preserve">Если реквизит «Система-инициатор» ≠ «НСИ ЭБ», заполняется автоматически</w:t>
            </w:r>
            <w:r/>
          </w:p>
        </w:tc>
      </w:tr>
      <w:tr>
        <w:tblPrEx/>
        <w:trPr/>
        <w:tc>
          <w:tcPr>
            <w:tcW w:w="959" w:type="pct"/>
            <w:textDirection w:val="lrTb"/>
            <w:noWrap w:val="false"/>
          </w:tcPr>
          <w:p>
            <w:pPr>
              <w:pStyle w:val="1316"/>
            </w:pPr>
            <w:r>
              <w:t xml:space="preserve">Тип лицевого счета</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тип лицевого счета.</w:t>
            </w:r>
            <w:r/>
          </w:p>
          <w:p>
            <w:pPr>
              <w:pStyle w:val="1316"/>
            </w:pPr>
            <w:r>
              <w:t xml:space="preserve">Заполняется </w:t>
            </w:r>
            <w:r>
              <w:rPr>
                <w:rFonts w:ascii="Times New Roman CYR" w:hAnsi="Times New Roman CYR" w:cs="Times New Roman CYR"/>
                <w:szCs w:val="22"/>
              </w:rPr>
              <w:t xml:space="preserve">пользователем </w:t>
            </w:r>
            <w:r>
              <w:t xml:space="preserve">вручную </w:t>
            </w:r>
            <w:r>
              <w:rPr>
                <w:rFonts w:ascii="Times New Roman CYR" w:hAnsi="Times New Roman CYR" w:cs="Times New Roman CYR"/>
                <w:szCs w:val="22"/>
              </w:rPr>
              <w:t xml:space="preserve">из </w:t>
            </w:r>
            <w:r>
              <w:t xml:space="preserve">справочника «Типы лицевых счетов».</w:t>
            </w:r>
            <w:r/>
          </w:p>
          <w:p>
            <w:pPr>
              <w:pStyle w:val="1316"/>
            </w:pPr>
            <w:r>
              <w:t xml:space="preserve">Если реквизит «Тип Заявки» = «Резервирование», то заполняется автоматически значением «71»</w:t>
            </w:r>
            <w:r/>
          </w:p>
          <w:p>
            <w:pPr>
              <w:pStyle w:val="1316"/>
            </w:pPr>
            <w:r>
              <w:t xml:space="preserve">Если реквизит «Система-инициатор» ≠ «НСИ ЭБ», заполняется автоматически</w:t>
            </w:r>
            <w:r/>
          </w:p>
        </w:tc>
      </w:tr>
      <w:tr>
        <w:tblPrEx/>
        <w:trPr/>
        <w:tc>
          <w:tcPr>
            <w:tcW w:w="959" w:type="pct"/>
            <w:textDirection w:val="lrTb"/>
            <w:noWrap w:val="false"/>
          </w:tcPr>
          <w:p>
            <w:pPr>
              <w:pStyle w:val="1316"/>
            </w:pPr>
            <w:r>
              <w:t xml:space="preserve">Код системы</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код системы обслуживания лицевого счета.</w:t>
            </w:r>
            <w:r/>
          </w:p>
          <w:p>
            <w:pPr>
              <w:pStyle w:val="1316"/>
            </w:pPr>
            <w:r>
              <w:t xml:space="preserve">Заполняется </w:t>
            </w:r>
            <w:r>
              <w:rPr>
                <w:rFonts w:ascii="Times New Roman CYR" w:hAnsi="Times New Roman CYR" w:cs="Times New Roman CYR"/>
                <w:szCs w:val="22"/>
              </w:rPr>
              <w:t xml:space="preserve">пользователем </w:t>
            </w:r>
            <w:r>
              <w:t xml:space="preserve">вручную </w:t>
            </w:r>
            <w:r>
              <w:rPr>
                <w:rFonts w:ascii="Times New Roman CYR" w:hAnsi="Times New Roman CYR" w:cs="Times New Roman CYR"/>
                <w:szCs w:val="22"/>
              </w:rPr>
              <w:t xml:space="preserve">из </w:t>
            </w:r>
            <w:r>
              <w:t xml:space="preserve">справочника «Коды систем»</w:t>
            </w:r>
            <w:r/>
          </w:p>
          <w:p>
            <w:pPr>
              <w:pStyle w:val="1316"/>
            </w:pPr>
            <w:r>
              <w:t xml:space="preserve">Если реквизит «Система-инициатор» ≠ «НСИ ЭБ», запол</w:t>
            </w:r>
            <w:r>
              <w:t xml:space="preserve">няется автоматически</w:t>
            </w:r>
            <w:r/>
          </w:p>
        </w:tc>
      </w:tr>
      <w:tr>
        <w:tblPrEx/>
        <w:trPr/>
        <w:tc>
          <w:tcPr>
            <w:tcW w:w="959" w:type="pct"/>
            <w:textDirection w:val="lrTb"/>
            <w:noWrap w:val="false"/>
          </w:tcPr>
          <w:p>
            <w:pPr>
              <w:pStyle w:val="1316"/>
            </w:pPr>
            <w:r>
              <w:t xml:space="preserve">Контрольный разряд</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контрольный разряд лицевого счета.</w:t>
            </w:r>
            <w:r/>
          </w:p>
          <w:p>
            <w:pPr>
              <w:pStyle w:val="1316"/>
            </w:pPr>
            <w:r>
              <w:t xml:space="preserve">По умолчанию принимает значение «0».</w:t>
            </w:r>
            <w:r/>
          </w:p>
          <w:p>
            <w:pPr>
              <w:pStyle w:val="1316"/>
            </w:pPr>
            <w:r>
              <w:t xml:space="preserve">Реквизит доступен для редактирования.</w:t>
            </w:r>
            <w:r/>
          </w:p>
          <w:p>
            <w:pPr>
              <w:pStyle w:val="1316"/>
            </w:pPr>
            <w:r>
              <w:t xml:space="preserve">Не отображается и не заполняется, если реквизит «Тип лицевого счета» = «71»</w:t>
            </w:r>
            <w:r/>
          </w:p>
        </w:tc>
      </w:tr>
      <w:tr>
        <w:tblPrEx/>
        <w:trPr/>
        <w:tc>
          <w:tcPr>
            <w:tcW w:w="959" w:type="pct"/>
            <w:textDirection w:val="lrTb"/>
            <w:noWrap w:val="false"/>
          </w:tcPr>
          <w:p>
            <w:pPr>
              <w:pStyle w:val="1316"/>
            </w:pPr>
            <w:r>
              <w:t xml:space="preserve">Контур</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контур ведения лицевого счета.</w:t>
            </w:r>
            <w:r/>
          </w:p>
          <w:p>
            <w:pPr>
              <w:pStyle w:val="1316"/>
            </w:pPr>
            <w:r>
              <w:t xml:space="preserve">Заполняется автоматически значением «Открытый»</w:t>
            </w:r>
            <w:r/>
          </w:p>
        </w:tc>
      </w:tr>
      <w:tr>
        <w:tblPrEx/>
        <w:trPr/>
        <w:tc>
          <w:tcPr>
            <w:tcW w:w="959" w:type="pct"/>
            <w:textDirection w:val="lrTb"/>
            <w:noWrap w:val="false"/>
          </w:tcPr>
          <w:p>
            <w:pPr>
              <w:pStyle w:val="1316"/>
            </w:pPr>
            <w:r>
              <w:t xml:space="preserve">Операционный контур</w:t>
            </w:r>
            <w:r/>
          </w:p>
        </w:tc>
        <w:tc>
          <w:tcPr>
            <w:tcW w:w="515" w:type="pct"/>
            <w:textDirection w:val="lrTb"/>
            <w:noWrap w:val="false"/>
          </w:tcPr>
          <w:p>
            <w:pPr>
              <w:pStyle w:val="1316"/>
            </w:pPr>
            <w:r>
              <w:t xml:space="preserve">Да </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операционный контур ведения лицевого счета.</w:t>
            </w:r>
            <w:r/>
          </w:p>
          <w:p>
            <w:pPr>
              <w:pStyle w:val="1316"/>
            </w:pPr>
            <w:r>
              <w:t xml:space="preserve">Заполняется вручную, по умолчанию принимает значение «Открытый».</w:t>
            </w:r>
            <w:r/>
          </w:p>
          <w:p>
            <w:pPr>
              <w:pStyle w:val="1316"/>
            </w:pPr>
            <w:r>
              <w:t xml:space="preserve">Может принимать значения:</w:t>
            </w:r>
            <w:r/>
          </w:p>
          <w:p>
            <w:pPr>
              <w:pStyle w:val="1318"/>
              <w:ind w:left="340" w:hanging="227"/>
              <w:tabs>
                <w:tab w:val="num" w:pos="340" w:leader="none"/>
              </w:tabs>
            </w:pPr>
            <w:r>
              <w:t xml:space="preserve">«Открытый»</w:t>
            </w:r>
            <w:r>
              <w:rPr>
                <w:lang w:val="en-US"/>
              </w:rPr>
              <w:t xml:space="preserve">;</w:t>
            </w:r>
            <w:r/>
          </w:p>
          <w:p>
            <w:pPr>
              <w:pStyle w:val="1318"/>
              <w:ind w:left="340" w:hanging="227"/>
              <w:tabs>
                <w:tab w:val="num" w:pos="340" w:leader="none"/>
              </w:tabs>
            </w:pPr>
            <w:r>
              <w:t xml:space="preserve">«Закрытый»</w:t>
            </w:r>
            <w:r/>
          </w:p>
          <w:p>
            <w:pPr>
              <w:pStyle w:val="1316"/>
            </w:pPr>
            <w:r>
              <w:t xml:space="preserve">Если реквизит «Система-инициатор» ≠ «НСИ ЭБ», заполняется автоматически</w:t>
            </w:r>
            <w:r/>
          </w:p>
        </w:tc>
      </w:tr>
      <w:tr>
        <w:tblPrEx/>
        <w:trPr/>
        <w:tc>
          <w:tcPr>
            <w:tcW w:w="959" w:type="pct"/>
            <w:textDirection w:val="lrTb"/>
            <w:noWrap w:val="false"/>
          </w:tcPr>
          <w:p>
            <w:pPr>
              <w:pStyle w:val="1316"/>
            </w:pPr>
            <w:r>
              <w:t xml:space="preserve">Код бюджета</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код бюджета.</w:t>
            </w:r>
            <w:r/>
          </w:p>
          <w:p>
            <w:pPr>
              <w:pStyle w:val="1316"/>
            </w:pPr>
            <w:r>
              <w:t xml:space="preserve">Заполняется </w:t>
            </w:r>
            <w:r>
              <w:rPr>
                <w:rFonts w:ascii="Times New Roman CYR" w:hAnsi="Times New Roman CYR" w:cs="Times New Roman CYR"/>
                <w:szCs w:val="22"/>
              </w:rPr>
              <w:t xml:space="preserve">пользователем </w:t>
            </w:r>
            <w:r>
              <w:t xml:space="preserve">вручную </w:t>
            </w:r>
            <w:r>
              <w:rPr>
                <w:rFonts w:ascii="Times New Roman CYR" w:hAnsi="Times New Roman CYR" w:cs="Times New Roman CYR"/>
                <w:szCs w:val="22"/>
              </w:rPr>
              <w:t xml:space="preserve">из </w:t>
            </w:r>
            <w:r>
              <w:t xml:space="preserve">справочника «Перечень бюджетов»</w:t>
            </w:r>
            <w:r/>
          </w:p>
          <w:p>
            <w:pPr>
              <w:pStyle w:val="1316"/>
            </w:pPr>
            <w:r>
              <w:t xml:space="preserve">Если реквизит «Система-инициатор» ≠ «НСИ ЭБ», заполняется автоматически</w:t>
            </w:r>
            <w:r/>
          </w:p>
        </w:tc>
      </w:tr>
      <w:tr>
        <w:tblPrEx/>
        <w:trPr/>
        <w:tc>
          <w:tcPr>
            <w:tcW w:w="959" w:type="pct"/>
            <w:textDirection w:val="lrTb"/>
            <w:noWrap w:val="false"/>
          </w:tcPr>
          <w:p>
            <w:pPr>
              <w:pStyle w:val="1316"/>
            </w:pPr>
            <w:r>
              <w:t xml:space="preserve">Наименование бюджета</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наименование бюджета.</w:t>
            </w:r>
            <w:r/>
          </w:p>
          <w:p>
            <w:pPr>
              <w:pStyle w:val="1316"/>
            </w:pPr>
            <w:r>
              <w:t xml:space="preserve">Заполняется автоматически на основании реквизита «Код бюджета»</w:t>
            </w:r>
            <w:r/>
          </w:p>
        </w:tc>
      </w:tr>
      <w:tr>
        <w:tblPrEx/>
        <w:trPr/>
        <w:tc>
          <w:tcPr>
            <w:tcW w:w="959" w:type="pct"/>
            <w:textDirection w:val="lrTb"/>
            <w:noWrap w:val="false"/>
          </w:tcPr>
          <w:p>
            <w:pPr>
              <w:pStyle w:val="1316"/>
            </w:pPr>
            <w:r>
              <w:t xml:space="preserve">Тип бюджета</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Да</w:t>
            </w:r>
            <w:r/>
          </w:p>
        </w:tc>
        <w:tc>
          <w:tcPr>
            <w:tcW w:w="3011" w:type="pct"/>
            <w:textDirection w:val="lrTb"/>
            <w:noWrap w:val="false"/>
          </w:tcPr>
          <w:p>
            <w:pPr>
              <w:pStyle w:val="1316"/>
            </w:pPr>
            <w:r>
              <w:t xml:space="preserve">Указывается тип бюджета.</w:t>
            </w:r>
            <w:r/>
          </w:p>
          <w:p>
            <w:pPr>
              <w:pStyle w:val="1316"/>
            </w:pPr>
            <w:r>
              <w:t xml:space="preserve">Заполняется автоматически на основании реквизита «Код бюджета»</w:t>
            </w:r>
            <w:r/>
          </w:p>
        </w:tc>
      </w:tr>
      <w:tr>
        <w:tblPrEx/>
        <w:trPr/>
        <w:tc>
          <w:tcPr>
            <w:tcW w:w="959" w:type="pct"/>
            <w:textDirection w:val="lrTb"/>
            <w:noWrap w:val="false"/>
          </w:tcPr>
          <w:p>
            <w:pPr>
              <w:pStyle w:val="1316"/>
            </w:pPr>
            <w:r>
              <w:t xml:space="preserve">ОКТМО ППО</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ОКТМО ППО бюджета.</w:t>
            </w:r>
            <w:r/>
          </w:p>
          <w:p>
            <w:pPr>
              <w:pStyle w:val="1316"/>
            </w:pPr>
            <w:r>
              <w:t xml:space="preserve">Заполняется автоматически на основании реквизита «Код бюджета», соответствующим значением реквизита «ОКТМО» записи справочника «</w:t>
            </w:r>
            <w:r>
              <w:rPr>
                <w:szCs w:val="22"/>
              </w:rPr>
              <w:t xml:space="preserve">Перечень бюджетов»</w:t>
            </w:r>
            <w:r/>
          </w:p>
        </w:tc>
      </w:tr>
      <w:tr>
        <w:tblPrEx/>
        <w:trPr/>
        <w:tc>
          <w:tcPr>
            <w:tcW w:w="959" w:type="pct"/>
            <w:textDirection w:val="lrTb"/>
            <w:noWrap w:val="false"/>
          </w:tcPr>
          <w:p>
            <w:pPr>
              <w:pStyle w:val="1316"/>
            </w:pPr>
            <w:r>
              <w:t xml:space="preserve">Номер казначейского счета</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Да</w:t>
            </w:r>
            <w:r/>
          </w:p>
        </w:tc>
        <w:tc>
          <w:tcPr>
            <w:tcW w:w="3011" w:type="pct"/>
            <w:textDirection w:val="lrTb"/>
            <w:noWrap w:val="false"/>
          </w:tcPr>
          <w:p>
            <w:pPr>
              <w:pStyle w:val="1316"/>
            </w:pPr>
            <w:r>
              <w:t xml:space="preserve">Указывается номер казначейского счета.</w:t>
            </w:r>
            <w:r/>
          </w:p>
          <w:p>
            <w:pPr>
              <w:pStyle w:val="1316"/>
            </w:pPr>
            <w:r>
              <w:t xml:space="preserve">Если реквизит «Тип лицевого счета» ≠ «71» заполняется </w:t>
            </w:r>
            <w:r>
              <w:rPr>
                <w:rFonts w:ascii="Times New Roman CYR" w:hAnsi="Times New Roman CYR" w:cs="Times New Roman CYR"/>
                <w:szCs w:val="22"/>
              </w:rPr>
              <w:t xml:space="preserve">пользователем </w:t>
            </w:r>
            <w:r>
              <w:t xml:space="preserve">вручную выбором </w:t>
            </w:r>
            <w:r>
              <w:rPr>
                <w:rFonts w:ascii="Times New Roman CYR" w:hAnsi="Times New Roman CYR" w:cs="Times New Roman CYR"/>
                <w:szCs w:val="22"/>
              </w:rPr>
              <w:t xml:space="preserve">из </w:t>
            </w:r>
            <w:r>
              <w:t xml:space="preserve">справочника «Книга регистрации казначейских счетов».</w:t>
            </w:r>
            <w:r/>
          </w:p>
          <w:p>
            <w:pPr>
              <w:pStyle w:val="1316"/>
            </w:pPr>
            <w:r>
              <w:t xml:space="preserve">Если реквизит «Тип лицевого счета» = «71» заполняется автоматически или выбором </w:t>
            </w:r>
            <w:r>
              <w:rPr>
                <w:rFonts w:ascii="Times New Roman CYR" w:hAnsi="Times New Roman CYR" w:cs="Times New Roman CYR"/>
                <w:szCs w:val="22"/>
              </w:rPr>
              <w:t xml:space="preserve">из </w:t>
            </w:r>
            <w:r>
              <w:t xml:space="preserve">справочника «Книга регистрации казначейских счетов».</w:t>
            </w:r>
            <w:r/>
          </w:p>
          <w:p>
            <w:pPr>
              <w:pStyle w:val="1316"/>
            </w:pPr>
            <w:r>
              <w:t xml:space="preserve">Реквизит не отображается в ЛК Клиента.</w:t>
            </w:r>
            <w:r/>
          </w:p>
          <w:p>
            <w:pPr>
              <w:pStyle w:val="1316"/>
            </w:pPr>
            <w:r>
              <w:t xml:space="preserve">Для выбора</w:t>
            </w:r>
            <w:r>
              <w:rPr>
                <w:rFonts w:ascii="Times New Roman CYR" w:hAnsi="Times New Roman CYR" w:cs="Times New Roman CYR"/>
                <w:szCs w:val="22"/>
              </w:rPr>
              <w:t xml:space="preserve"> из </w:t>
            </w:r>
            <w:r>
              <w:t xml:space="preserve">справочника «Книга регистрации казначейских счетов» отображаются актуальные записи справочника, в соответствии с ТОФК / ФО по месту открытия лицевого счета и выбранного бюджета</w:t>
            </w:r>
            <w:r/>
          </w:p>
          <w:p>
            <w:pPr>
              <w:pStyle w:val="1316"/>
            </w:pPr>
            <w:r>
              <w:t xml:space="preserve">Если реквизит «Система-инициатор» ≠ «НСИ ЭБ», заполняется автоматически</w:t>
            </w:r>
            <w:r/>
          </w:p>
        </w:tc>
      </w:tr>
      <w:tr>
        <w:tblPrEx/>
        <w:trPr/>
        <w:tc>
          <w:tcPr>
            <w:tcW w:w="959" w:type="pct"/>
            <w:textDirection w:val="lrTb"/>
            <w:noWrap w:val="false"/>
          </w:tcPr>
          <w:p>
            <w:pPr>
              <w:pStyle w:val="1316"/>
            </w:pPr>
            <w:r>
              <w:t xml:space="preserve">Обслуживается в ФО</w:t>
            </w:r>
            <w:r/>
          </w:p>
          <w:p>
            <w:pPr>
              <w:pStyle w:val="1316"/>
            </w:pPr>
            <w:r>
              <w:t xml:space="preserve">(наименование на СФ: Обслуживается в Фин.органе)</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Да</w:t>
            </w:r>
            <w:r/>
          </w:p>
        </w:tc>
        <w:tc>
          <w:tcPr>
            <w:tcW w:w="3011" w:type="pct"/>
            <w:textDirection w:val="lrTb"/>
            <w:noWrap w:val="false"/>
          </w:tcPr>
          <w:p>
            <w:pPr>
              <w:pStyle w:val="1316"/>
            </w:pPr>
            <w:r>
              <w:t xml:space="preserve">Указывается признак обслуживания лицевого счета в финансовом органе.</w:t>
            </w:r>
            <w:r/>
          </w:p>
          <w:p>
            <w:pPr>
              <w:pStyle w:val="1316"/>
            </w:pPr>
            <w:r>
              <w:t xml:space="preserve">Если реквизит «Тип заявки» = «Открытие», то заполняется вручную пользователем (логический реквизит, по умолчанию принимает значение «Нет»).</w:t>
            </w:r>
            <w:r/>
          </w:p>
          <w:p>
            <w:pPr>
              <w:pStyle w:val="1316"/>
            </w:pPr>
            <w:r>
              <w:t xml:space="preserve">Если реквизит «Тип заявки» = «Переоформление; Изменение; Закрытие», то заполняется автоматически значением реквизита «Обслуживается в ФО» родительской записи справочника «Книга регистрации лицевых счетов» Реквизит НЕ доступен для редактирования.</w:t>
            </w:r>
            <w:r/>
          </w:p>
          <w:p>
            <w:pPr>
              <w:pStyle w:val="1316"/>
              <w:rPr>
                <w:szCs w:val="22"/>
              </w:rPr>
            </w:pPr>
            <w:r>
              <w:rPr>
                <w:szCs w:val="22"/>
              </w:rPr>
              <w:t xml:space="preserve">Реквизит не отображается в ЛК Клиент (реквизит «</w:t>
            </w:r>
            <w:r>
              <w:t xml:space="preserve">Тип организации/клиента – текущего пользователя</w:t>
            </w:r>
            <w:r>
              <w:rPr>
                <w:szCs w:val="22"/>
              </w:rPr>
              <w:t xml:space="preserve">» = «Клиент»).</w:t>
            </w:r>
            <w:r>
              <w:rPr>
                <w:szCs w:val="22"/>
              </w:rPr>
            </w:r>
          </w:p>
          <w:p>
            <w:pPr>
              <w:pStyle w:val="1316"/>
            </w:pPr>
            <w:r>
              <w:t xml:space="preserve">В случае, когда реквизит «Тип заявки» = «Изменение» и реквизит «Выполнить перевод клиента на обслуживание в другой ТОФК/ФО» = «Да» доступен для редактирования</w:t>
            </w:r>
            <w:r/>
          </w:p>
          <w:p>
            <w:pPr>
              <w:pStyle w:val="1316"/>
            </w:pPr>
            <w:r>
              <w:t xml:space="preserve">Если реквизит «Система-инициатор» ≠ «НСИ ЭБ», заполняется автоматически</w:t>
            </w:r>
            <w:r/>
          </w:p>
        </w:tc>
      </w:tr>
      <w:tr>
        <w:tblPrEx/>
        <w:trPr/>
        <w:tc>
          <w:tcPr>
            <w:tcW w:w="959" w:type="pct"/>
            <w:textDirection w:val="lrTb"/>
            <w:noWrap w:val="false"/>
          </w:tcPr>
          <w:p>
            <w:pPr>
              <w:pStyle w:val="1316"/>
            </w:pPr>
            <w:r>
              <w:t xml:space="preserve">Выполнить перевод клиента на обслуживание в другой ТОФК/ФО</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признак включения режима перевода клиента на обслуживание в другой ТОФК/ФО (логический реквизит, по умолчанию принимает значение «Нет»).</w:t>
            </w:r>
            <w:r/>
          </w:p>
          <w:p>
            <w:pPr>
              <w:pStyle w:val="1316"/>
            </w:pPr>
            <w:r>
              <w:t xml:space="preserve">Отображается и доступен для редактирования, если реквизит «Тип заявки» = «Изменение» и реквизит «Тип лицевого счета» = «71». Чекбокс устанавливается вручную пользователем при необходимости передачи ЛС на обслуживание в другой ТОФК / ФО.</w:t>
            </w:r>
            <w:r/>
          </w:p>
          <w:p>
            <w:pPr>
              <w:pStyle w:val="1316"/>
            </w:pPr>
            <w:r>
              <w:t xml:space="preserve">При включении данного реквизита открывается возможность редактирования реквизитов: «Обслуживается в ФО», «ТОФК по месту открытия»</w:t>
            </w:r>
            <w:r/>
          </w:p>
        </w:tc>
      </w:tr>
      <w:tr>
        <w:tblPrEx/>
        <w:trPr/>
        <w:tc>
          <w:tcPr>
            <w:gridSpan w:val="4"/>
            <w:shd w:val="clear" w:color="auto" w:fill="f2f2f2" w:themeFill="background1" w:themeFillShade="F2"/>
            <w:tcW w:w="5000" w:type="pct"/>
            <w:textDirection w:val="lrTb"/>
            <w:noWrap w:val="false"/>
          </w:tcPr>
          <w:p>
            <w:pPr>
              <w:pStyle w:val="1316"/>
              <w:rPr>
                <w:rStyle w:val="1312"/>
              </w:rPr>
            </w:pPr>
            <w:r>
              <w:rPr>
                <w:rStyle w:val="1312"/>
              </w:rPr>
              <w:t xml:space="preserve">Раздел «Сведения о заказчике»</w:t>
            </w:r>
            <w:r>
              <w:rPr>
                <w:rStyle w:val="1312"/>
              </w:rPr>
            </w:r>
          </w:p>
          <w:p>
            <w:pPr>
              <w:pStyle w:val="1316"/>
            </w:pPr>
            <w:r>
              <w:t xml:space="preserve">Отображается, если реквизит «Тип заявки» = </w:t>
            </w:r>
            <w:r>
              <w:rPr>
                <w:szCs w:val="22"/>
              </w:rPr>
              <w:t xml:space="preserve">«Резервирование; Открытие» и </w:t>
            </w:r>
            <w:r>
              <w:t xml:space="preserve">реквизит «Тип лицевого счета» = «71»</w:t>
            </w:r>
            <w:r/>
          </w:p>
          <w:p>
            <w:pPr>
              <w:pStyle w:val="1316"/>
              <w:rPr>
                <w:rStyle w:val="1312"/>
              </w:rPr>
            </w:pPr>
            <w:r>
              <w:t xml:space="preserve">Не отображается и не заполняется, если реквизит «Тип лицевого счета» ≠ «71»</w:t>
            </w:r>
            <w:r>
              <w:rPr>
                <w:rStyle w:val="1312"/>
              </w:rPr>
            </w:r>
          </w:p>
        </w:tc>
      </w:tr>
      <w:tr>
        <w:tblPrEx/>
        <w:trPr/>
        <w:tc>
          <w:tcPr>
            <w:tcW w:w="959" w:type="pct"/>
            <w:textDirection w:val="lrTb"/>
            <w:noWrap w:val="false"/>
          </w:tcPr>
          <w:p>
            <w:pPr>
              <w:pStyle w:val="1316"/>
            </w:pPr>
            <w:r>
              <w:t xml:space="preserve">Заказчик не включен в открытую часть Сводного реестра</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признак включения Заказчика в открытую часть Сводного реестра.</w:t>
            </w:r>
            <w:r/>
          </w:p>
          <w:p>
            <w:pPr>
              <w:pStyle w:val="1316"/>
            </w:pPr>
            <w:r>
              <w:t xml:space="preserve">Заполняется вручную пользователем (логический реквизит, по умолчанию принимает значение «Нет»).</w:t>
            </w:r>
            <w:r/>
          </w:p>
          <w:p>
            <w:pPr>
              <w:pStyle w:val="1316"/>
            </w:pPr>
            <w:r>
              <w:t xml:space="preserve">Если реквизит «Система-инициатор» = «ЕИС; ПУР КС», заполняется автоматически значением «Нет» (от ПУР КС не принимаются заявления ЛС, в случае, когда Заказчик не включен в открытую часть Сводного реестра)</w:t>
            </w:r>
            <w:r/>
          </w:p>
        </w:tc>
      </w:tr>
      <w:tr>
        <w:tblPrEx/>
        <w:trPr/>
        <w:tc>
          <w:tcPr>
            <w:tcW w:w="959" w:type="pct"/>
            <w:textDirection w:val="lrTb"/>
            <w:noWrap w:val="false"/>
          </w:tcPr>
          <w:p>
            <w:pPr>
              <w:pStyle w:val="1316"/>
            </w:pPr>
            <w:r>
              <w:t xml:space="preserve">Код Заказчика</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код Заказчика по СВР.</w:t>
            </w:r>
            <w:r/>
          </w:p>
          <w:p>
            <w:pPr>
              <w:pStyle w:val="1316"/>
            </w:pPr>
            <w:r>
              <w:t xml:space="preserve">Заполняется </w:t>
            </w:r>
            <w:r>
              <w:rPr>
                <w:rFonts w:ascii="Times New Roman CYR" w:hAnsi="Times New Roman CYR" w:cs="Times New Roman CYR"/>
                <w:szCs w:val="22"/>
              </w:rPr>
              <w:t xml:space="preserve">пользователем </w:t>
            </w:r>
            <w:r>
              <w:t xml:space="preserve">вручную выбором </w:t>
            </w:r>
            <w:r>
              <w:rPr>
                <w:rFonts w:ascii="Times New Roman CYR" w:hAnsi="Times New Roman CYR" w:cs="Times New Roman CYR"/>
                <w:szCs w:val="22"/>
              </w:rPr>
              <w:t xml:space="preserve">из </w:t>
            </w:r>
            <w:r>
              <w:t xml:space="preserve">справочника «Сводный реестр» / «Реестр ИП, КФХ».</w:t>
            </w:r>
            <w:r/>
          </w:p>
          <w:p>
            <w:pPr>
              <w:pStyle w:val="1316"/>
            </w:pPr>
            <w:r>
              <w:t xml:space="preserve">Если реквизит «Система-инициатор» = «ЕИС; ПУР КС», заполняется автоматически</w:t>
            </w:r>
            <w:r/>
          </w:p>
        </w:tc>
      </w:tr>
      <w:tr>
        <w:tblPrEx/>
        <w:trPr/>
        <w:tc>
          <w:tcPr>
            <w:tcW w:w="959" w:type="pct"/>
            <w:textDirection w:val="lrTb"/>
            <w:noWrap w:val="false"/>
          </w:tcPr>
          <w:p>
            <w:pPr>
              <w:pStyle w:val="1316"/>
            </w:pPr>
            <w:r>
              <w:t xml:space="preserve">Полное наимено</w:t>
            </w:r>
            <w:r>
              <w:t xml:space="preserve">вание Заказчика</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полное наименование Заказчика.</w:t>
            </w:r>
            <w:r/>
          </w:p>
          <w:p>
            <w:pPr>
              <w:pStyle w:val="1316"/>
            </w:pPr>
            <w:r>
              <w:t xml:space="preserve">Заполняется автоматически на основании реквизита «Код Заказчика».</w:t>
            </w:r>
            <w:r/>
          </w:p>
          <w:p>
            <w:pPr>
              <w:pStyle w:val="1316"/>
            </w:pPr>
            <w:r>
              <w:t xml:space="preserve">Если реквизит «</w:t>
            </w:r>
            <w:r>
              <w:rPr>
                <w:szCs w:val="22"/>
              </w:rPr>
              <w:t xml:space="preserve">Заказчик не включен в открытую часть Сводного реестра</w:t>
            </w:r>
            <w:r>
              <w:t xml:space="preserve">» = Да, заполняется пользователем вручную</w:t>
            </w:r>
            <w:r/>
          </w:p>
          <w:p>
            <w:pPr>
              <w:pStyle w:val="1316"/>
            </w:pPr>
            <w:r>
              <w:t xml:space="preserve">Если реквизит «Система-инициатор» = «ЕИС; ПУР КС», заполняется автоматически</w:t>
            </w:r>
            <w:r/>
          </w:p>
        </w:tc>
      </w:tr>
      <w:tr>
        <w:tblPrEx/>
        <w:trPr/>
        <w:tc>
          <w:tcPr>
            <w:tcW w:w="959" w:type="pct"/>
            <w:textDirection w:val="lrTb"/>
            <w:noWrap w:val="false"/>
          </w:tcPr>
          <w:p>
            <w:pPr>
              <w:pStyle w:val="1316"/>
            </w:pPr>
            <w:r>
              <w:t xml:space="preserve">ИНН Заказчика</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ИНН Заказчика.</w:t>
            </w:r>
            <w:r/>
          </w:p>
          <w:p>
            <w:pPr>
              <w:pStyle w:val="1316"/>
            </w:pPr>
            <w:r>
              <w:t xml:space="preserve">Заполняется автоматически на основании реквизита «Код Заказчика».</w:t>
            </w:r>
            <w:r/>
          </w:p>
          <w:p>
            <w:pPr>
              <w:pStyle w:val="1316"/>
            </w:pPr>
            <w:r>
              <w:t xml:space="preserve">Если реквизит «</w:t>
            </w:r>
            <w:r>
              <w:rPr>
                <w:szCs w:val="22"/>
              </w:rPr>
              <w:t xml:space="preserve">Заказчик не включен в открытую часть Сводного реестра</w:t>
            </w:r>
            <w:r>
              <w:t xml:space="preserve">» = Да, заполняется пользователем вручную</w:t>
            </w:r>
            <w:r/>
          </w:p>
          <w:p>
            <w:pPr>
              <w:pStyle w:val="1316"/>
            </w:pPr>
            <w:r>
              <w:t xml:space="preserve">Если реквизит «Система-инициатор» = «ЕИС; ПУР КС», заполняется автоматически</w:t>
            </w:r>
            <w:r/>
          </w:p>
        </w:tc>
      </w:tr>
      <w:tr>
        <w:tblPrEx/>
        <w:trPr/>
        <w:tc>
          <w:tcPr>
            <w:tcW w:w="959" w:type="pct"/>
            <w:textDirection w:val="lrTb"/>
            <w:noWrap w:val="false"/>
          </w:tcPr>
          <w:p>
            <w:pPr>
              <w:pStyle w:val="1316"/>
            </w:pPr>
            <w:r>
              <w:t xml:space="preserve">Сокращенное наименование Заказчика</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сокращенное наименование Заказчика.</w:t>
            </w:r>
            <w:r/>
          </w:p>
          <w:p>
            <w:pPr>
              <w:pStyle w:val="1316"/>
            </w:pPr>
            <w:r>
              <w:t xml:space="preserve">Заполняется автоматически на основании реквизита «Код Заказчика».</w:t>
            </w:r>
            <w:r/>
          </w:p>
          <w:p>
            <w:pPr>
              <w:pStyle w:val="1316"/>
            </w:pPr>
            <w:r>
              <w:t xml:space="preserve">Если реквизит «</w:t>
            </w:r>
            <w:r>
              <w:rPr>
                <w:szCs w:val="22"/>
              </w:rPr>
              <w:t xml:space="preserve">Заказчик не включен в открытую часть Сводного реестра</w:t>
            </w:r>
            <w:r>
              <w:t xml:space="preserve">» = Да, заполняется пользователем вручную</w:t>
            </w:r>
            <w:r/>
          </w:p>
          <w:p>
            <w:pPr>
              <w:pStyle w:val="1316"/>
            </w:pPr>
            <w:r>
              <w:t xml:space="preserve">Если реквизит «Система-инициатор» = «ЕИС; ПУР КС», заполняется автоматически</w:t>
            </w:r>
            <w:r/>
          </w:p>
        </w:tc>
      </w:tr>
      <w:tr>
        <w:tblPrEx/>
        <w:trPr/>
        <w:tc>
          <w:tcPr>
            <w:tcW w:w="959" w:type="pct"/>
            <w:textDirection w:val="lrTb"/>
            <w:noWrap w:val="false"/>
          </w:tcPr>
          <w:p>
            <w:pPr>
              <w:pStyle w:val="1316"/>
            </w:pPr>
            <w:r>
              <w:t xml:space="preserve">КПП Заказчика</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КПП Заказчика.</w:t>
            </w:r>
            <w:r/>
          </w:p>
          <w:p>
            <w:pPr>
              <w:pStyle w:val="1316"/>
            </w:pPr>
            <w:r>
              <w:t xml:space="preserve">Заполняется автоматически на основании реквизита «Код Заказчика».</w:t>
            </w:r>
            <w:r/>
          </w:p>
          <w:p>
            <w:pPr>
              <w:pStyle w:val="1316"/>
            </w:pPr>
            <w:r>
              <w:t xml:space="preserve">Если реквизит «</w:t>
            </w:r>
            <w:r>
              <w:rPr>
                <w:szCs w:val="22"/>
              </w:rPr>
              <w:t xml:space="preserve">Заказчик не включен в открытую часть Сводного реестра</w:t>
            </w:r>
            <w:r>
              <w:t xml:space="preserve">» = Да, заполняется пользователем вручную</w:t>
            </w:r>
            <w:r/>
          </w:p>
          <w:p>
            <w:pPr>
              <w:pStyle w:val="1316"/>
            </w:pPr>
            <w:r>
              <w:t xml:space="preserve">Если реквизит «Система-инициатор» = «ЕИС; ПУР КС», заполняется автоматически</w:t>
            </w:r>
            <w:r/>
          </w:p>
        </w:tc>
      </w:tr>
      <w:tr>
        <w:tblPrEx/>
        <w:trPr/>
        <w:tc>
          <w:tcPr>
            <w:tcW w:w="959" w:type="pct"/>
            <w:textDirection w:val="lrTb"/>
            <w:noWrap w:val="false"/>
          </w:tcPr>
          <w:p>
            <w:pPr>
              <w:pStyle w:val="1316"/>
            </w:pPr>
            <w:r>
              <w:t xml:space="preserve">Лицевой счет заказчика</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КПП Заказчика.</w:t>
            </w:r>
            <w:r/>
          </w:p>
          <w:p>
            <w:pPr>
              <w:pStyle w:val="1316"/>
            </w:pPr>
            <w:r>
              <w:t xml:space="preserve">Заполняется пользователем вручную выбором из справочника «Книга регистрации лицевых счетов»</w:t>
            </w:r>
            <w:r/>
          </w:p>
          <w:p>
            <w:pPr>
              <w:pStyle w:val="1316"/>
            </w:pPr>
            <w:r>
              <w:t xml:space="preserve">Не отображается и не заполняется, если реквизит «Тип заявки» = «Резервирование»</w:t>
            </w:r>
            <w:r/>
          </w:p>
          <w:p>
            <w:pPr>
              <w:pStyle w:val="1316"/>
            </w:pPr>
            <w:r>
              <w:t xml:space="preserve">Если реквизит «Система-инициатор» = «ЕИС; ПУР КС», заполняется автоматически</w:t>
            </w:r>
            <w:r/>
          </w:p>
        </w:tc>
      </w:tr>
      <w:tr>
        <w:tblPrEx/>
        <w:trPr/>
        <w:tc>
          <w:tcPr>
            <w:gridSpan w:val="4"/>
            <w:shd w:val="clear" w:color="auto" w:fill="f2f2f2" w:themeFill="background1" w:themeFillShade="F2"/>
            <w:tcW w:w="5000" w:type="pct"/>
            <w:textDirection w:val="lrTb"/>
            <w:noWrap w:val="false"/>
          </w:tcPr>
          <w:p>
            <w:pPr>
              <w:pStyle w:val="1316"/>
              <w:rPr>
                <w:rStyle w:val="1312"/>
              </w:rPr>
            </w:pPr>
            <w:r>
              <w:rPr>
                <w:rStyle w:val="1312"/>
              </w:rPr>
              <w:t xml:space="preserve">Раздел «Основание для открытия / изменения / переоформления / закрытия лицевого счета»</w:t>
            </w:r>
            <w:r>
              <w:rPr>
                <w:rStyle w:val="1312"/>
              </w:rPr>
            </w:r>
          </w:p>
          <w:p>
            <w:pPr>
              <w:pStyle w:val="1316"/>
              <w:rPr>
                <w:szCs w:val="22"/>
              </w:rPr>
            </w:pPr>
            <w:r>
              <w:t xml:space="preserve">Если реквизит «Тип заявки» = </w:t>
            </w:r>
            <w:r>
              <w:rPr>
                <w:szCs w:val="22"/>
              </w:rPr>
              <w:t xml:space="preserve">«Открытие», о</w:t>
            </w:r>
            <w:r>
              <w:t xml:space="preserve">тображается наименование раздела </w:t>
            </w:r>
            <w:r>
              <w:rPr>
                <w:rStyle w:val="1312"/>
                <w:b w:val="0"/>
              </w:rPr>
              <w:t xml:space="preserve">«Основание для открытия лицевого счета»</w:t>
            </w:r>
            <w:r>
              <w:rPr>
                <w:szCs w:val="22"/>
              </w:rPr>
            </w:r>
          </w:p>
          <w:p>
            <w:pPr>
              <w:pStyle w:val="1316"/>
              <w:rPr>
                <w:szCs w:val="22"/>
              </w:rPr>
            </w:pPr>
            <w:r>
              <w:t xml:space="preserve">Если реквизит «Тип заявки» = </w:t>
            </w:r>
            <w:r>
              <w:rPr>
                <w:szCs w:val="22"/>
              </w:rPr>
              <w:t xml:space="preserve">«Изменение», о</w:t>
            </w:r>
            <w:r>
              <w:t xml:space="preserve">тображается наименование раздела </w:t>
            </w:r>
            <w:r>
              <w:rPr>
                <w:rStyle w:val="1312"/>
                <w:b w:val="0"/>
              </w:rPr>
              <w:t xml:space="preserve">«Основание для изменения лицевого счета»</w:t>
            </w:r>
            <w:r>
              <w:rPr>
                <w:szCs w:val="22"/>
              </w:rPr>
            </w:r>
          </w:p>
          <w:p>
            <w:pPr>
              <w:pStyle w:val="1316"/>
              <w:rPr>
                <w:szCs w:val="22"/>
              </w:rPr>
            </w:pPr>
            <w:r>
              <w:t xml:space="preserve">Если реквизит «Тип заявки» = </w:t>
            </w:r>
            <w:r>
              <w:rPr>
                <w:szCs w:val="22"/>
              </w:rPr>
              <w:t xml:space="preserve">«Переоформление», о</w:t>
            </w:r>
            <w:r>
              <w:t xml:space="preserve">тображается наименование раздела </w:t>
            </w:r>
            <w:r>
              <w:rPr>
                <w:rStyle w:val="1312"/>
                <w:b w:val="0"/>
              </w:rPr>
              <w:t xml:space="preserve">«Основание для переоформления лицевого счета»</w:t>
            </w:r>
            <w:r>
              <w:rPr>
                <w:szCs w:val="22"/>
              </w:rPr>
            </w:r>
          </w:p>
          <w:p>
            <w:pPr>
              <w:pStyle w:val="1316"/>
              <w:rPr>
                <w:rStyle w:val="1312"/>
              </w:rPr>
            </w:pPr>
            <w:r>
              <w:t xml:space="preserve">Если реквизит «Тип заявки» = </w:t>
            </w:r>
            <w:r>
              <w:rPr>
                <w:szCs w:val="22"/>
              </w:rPr>
              <w:t xml:space="preserve">«Закрытие», о</w:t>
            </w:r>
            <w:r>
              <w:t xml:space="preserve">тображается наименование раздела </w:t>
            </w:r>
            <w:r>
              <w:rPr>
                <w:rStyle w:val="1312"/>
                <w:b w:val="0"/>
              </w:rPr>
              <w:t xml:space="preserve">«Основание для за</w:t>
            </w:r>
            <w:r>
              <w:rPr>
                <w:rStyle w:val="1312"/>
                <w:b w:val="0"/>
              </w:rPr>
              <w:t xml:space="preserve">крытия лицевого счета»</w:t>
            </w:r>
            <w:r>
              <w:rPr>
                <w:rStyle w:val="1312"/>
              </w:rPr>
            </w:r>
          </w:p>
        </w:tc>
      </w:tr>
      <w:tr>
        <w:tblPrEx/>
        <w:trPr/>
        <w:tc>
          <w:tcPr>
            <w:tcW w:w="959" w:type="pct"/>
            <w:textDirection w:val="lrTb"/>
            <w:noWrap w:val="false"/>
          </w:tcPr>
          <w:p>
            <w:pPr>
              <w:pStyle w:val="1316"/>
            </w:pPr>
            <w:r>
              <w:t xml:space="preserve">Наименование документа</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наименование документа-основания.</w:t>
            </w:r>
            <w:r/>
          </w:p>
          <w:p>
            <w:pPr>
              <w:pStyle w:val="1316"/>
            </w:pPr>
            <w:r>
              <w:t xml:space="preserve">Если реквизит «Тип лицевого счета» ≠ «71» заполняется </w:t>
            </w:r>
            <w:r>
              <w:rPr>
                <w:rFonts w:ascii="Times New Roman CYR" w:hAnsi="Times New Roman CYR" w:cs="Times New Roman CYR"/>
                <w:szCs w:val="22"/>
              </w:rPr>
              <w:t xml:space="preserve">пользователем </w:t>
            </w:r>
            <w:r>
              <w:t xml:space="preserve">вручную.</w:t>
            </w:r>
            <w:r/>
          </w:p>
          <w:p>
            <w:pPr>
              <w:pStyle w:val="1316"/>
            </w:pPr>
            <w:r>
              <w:t xml:space="preserve">Если реквизит «Тип лицевого счета» = «71» заполняется </w:t>
            </w:r>
            <w:r>
              <w:rPr>
                <w:rFonts w:ascii="Times New Roman CYR" w:hAnsi="Times New Roman CYR" w:cs="Times New Roman CYR"/>
                <w:szCs w:val="22"/>
              </w:rPr>
              <w:t xml:space="preserve">пользователем </w:t>
            </w:r>
            <w:r>
              <w:t xml:space="preserve">вручную выбором </w:t>
            </w:r>
            <w:r>
              <w:rPr>
                <w:rFonts w:ascii="Times New Roman CYR" w:hAnsi="Times New Roman CYR" w:cs="Times New Roman CYR"/>
                <w:szCs w:val="22"/>
              </w:rPr>
              <w:t xml:space="preserve">из </w:t>
            </w:r>
            <w:r>
              <w:t xml:space="preserve">справочника «Типы документов-оснований»</w:t>
            </w:r>
            <w:r/>
          </w:p>
          <w:p>
            <w:pPr>
              <w:pStyle w:val="1316"/>
            </w:pPr>
            <w:r>
              <w:t xml:space="preserve">Если реквизит «Тип лицевого счета» = «71» и реквизит «Тип заявки» = </w:t>
            </w:r>
            <w:r>
              <w:rPr>
                <w:szCs w:val="22"/>
              </w:rPr>
              <w:t xml:space="preserve">«Открытие»</w:t>
            </w:r>
            <w:r>
              <w:t xml:space="preserve">, реквизит обязателен для заполнения</w:t>
            </w:r>
            <w:r/>
          </w:p>
          <w:p>
            <w:pPr>
              <w:pStyle w:val="1316"/>
            </w:pPr>
            <w:r>
              <w:t xml:space="preserve">Если реквизит «Система-инициатор» ≠ «НСИ ЭБ», заполняется автоматически</w:t>
            </w:r>
            <w:r/>
          </w:p>
        </w:tc>
      </w:tr>
      <w:tr>
        <w:tblPrEx/>
        <w:trPr/>
        <w:tc>
          <w:tcPr>
            <w:tcW w:w="959" w:type="pct"/>
            <w:textDirection w:val="lrTb"/>
            <w:noWrap w:val="false"/>
          </w:tcPr>
          <w:p>
            <w:pPr>
              <w:pStyle w:val="1316"/>
            </w:pPr>
            <w:r>
              <w:t xml:space="preserve">Номер документа</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номер документа-основания.</w:t>
            </w:r>
            <w:r/>
          </w:p>
          <w:p>
            <w:pPr>
              <w:pStyle w:val="1316"/>
            </w:pPr>
            <w:r>
              <w:t xml:space="preserve">Заполняется </w:t>
            </w:r>
            <w:r>
              <w:rPr>
                <w:rFonts w:ascii="Times New Roman CYR" w:hAnsi="Times New Roman CYR" w:cs="Times New Roman CYR"/>
                <w:szCs w:val="22"/>
              </w:rPr>
              <w:t xml:space="preserve">пользователем </w:t>
            </w:r>
            <w:r>
              <w:t xml:space="preserve">вручную</w:t>
            </w:r>
            <w:r/>
          </w:p>
          <w:p>
            <w:pPr>
              <w:pStyle w:val="1316"/>
            </w:pPr>
            <w:r>
              <w:t xml:space="preserve">Если реквизит «Тип лицевого счета» = «71» и реквизит «Тип заявки» = </w:t>
            </w:r>
            <w:r>
              <w:rPr>
                <w:szCs w:val="22"/>
              </w:rPr>
              <w:t xml:space="preserve">«Открытие»</w:t>
            </w:r>
            <w:r>
              <w:t xml:space="preserve">, реквизит обязателен для заполнения</w:t>
            </w:r>
            <w:r/>
          </w:p>
          <w:p>
            <w:pPr>
              <w:pStyle w:val="1316"/>
            </w:pPr>
            <w:r>
              <w:t xml:space="preserve">Если реквизит «Система-инициатор» ≠ «НСИ ЭБ», заполняется автоматически</w:t>
            </w:r>
            <w:r/>
          </w:p>
        </w:tc>
      </w:tr>
      <w:tr>
        <w:tblPrEx/>
        <w:trPr/>
        <w:tc>
          <w:tcPr>
            <w:tcW w:w="959" w:type="pct"/>
            <w:textDirection w:val="lrTb"/>
            <w:noWrap w:val="false"/>
          </w:tcPr>
          <w:p>
            <w:pPr>
              <w:pStyle w:val="1316"/>
            </w:pPr>
            <w:r>
              <w:t xml:space="preserve">Дата ввода в действие</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дата ввода в действие.</w:t>
            </w:r>
            <w:r/>
          </w:p>
          <w:p>
            <w:pPr>
              <w:pStyle w:val="1316"/>
            </w:pPr>
            <w:r>
              <w:t xml:space="preserve">Заполняется </w:t>
            </w:r>
            <w:r>
              <w:rPr>
                <w:rFonts w:ascii="Times New Roman CYR" w:hAnsi="Times New Roman CYR" w:cs="Times New Roman CYR"/>
                <w:szCs w:val="22"/>
              </w:rPr>
              <w:t xml:space="preserve">пользователем </w:t>
            </w:r>
            <w:r>
              <w:t xml:space="preserve">вручную</w:t>
            </w:r>
            <w:r/>
          </w:p>
          <w:p>
            <w:pPr>
              <w:pStyle w:val="1316"/>
            </w:pPr>
            <w:r>
              <w:t xml:space="preserve">Если реквизит «Тип лицевого счета» = «71» и реквизит «Тип заявки» = </w:t>
            </w:r>
            <w:r>
              <w:rPr>
                <w:szCs w:val="22"/>
              </w:rPr>
              <w:t xml:space="preserve">«Открытие»</w:t>
            </w:r>
            <w:r>
              <w:t xml:space="preserve">, реквизит обязателен для заполнения</w:t>
            </w:r>
            <w:r/>
          </w:p>
          <w:p>
            <w:pPr>
              <w:pStyle w:val="1316"/>
            </w:pPr>
            <w:r>
              <w:t xml:space="preserve">Если реквизит «Система-инициатор» ≠ «НСИ ЭБ», заполняется автоматически</w:t>
            </w:r>
            <w:r/>
          </w:p>
        </w:tc>
      </w:tr>
      <w:tr>
        <w:tblPrEx/>
        <w:trPr/>
        <w:tc>
          <w:tcPr>
            <w:tcW w:w="959" w:type="pct"/>
            <w:textDirection w:val="lrTb"/>
            <w:noWrap w:val="false"/>
          </w:tcPr>
          <w:p>
            <w:pPr>
              <w:pStyle w:val="1316"/>
            </w:pPr>
            <w:r>
              <w:t xml:space="preserve">Ссылка на документ-основание</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Ссылка на документ-основание.</w:t>
            </w:r>
            <w:r/>
          </w:p>
          <w:p>
            <w:pPr>
              <w:pStyle w:val="1316"/>
            </w:pPr>
            <w:r>
              <w:t xml:space="preserve">Если реквизит «Тип лицевого счета» = «71» заполняется </w:t>
            </w:r>
            <w:r>
              <w:rPr>
                <w:rFonts w:ascii="Times New Roman CYR" w:hAnsi="Times New Roman CYR" w:cs="Times New Roman CYR"/>
                <w:szCs w:val="22"/>
              </w:rPr>
              <w:t xml:space="preserve">пользователем </w:t>
            </w:r>
            <w:r>
              <w:t xml:space="preserve">вручную</w:t>
            </w:r>
            <w:r/>
          </w:p>
          <w:p>
            <w:pPr>
              <w:pStyle w:val="1316"/>
            </w:pPr>
            <w:r>
              <w:t xml:space="preserve">Если реквизит «Тип лицевого счета» = «71» и реквизит «Тип заявки» = </w:t>
            </w:r>
            <w:r>
              <w:rPr>
                <w:szCs w:val="22"/>
              </w:rPr>
              <w:t xml:space="preserve">«Открытие»</w:t>
            </w:r>
            <w:r>
              <w:t xml:space="preserve">, реквизит обязателен для заполнения, если не заполнен реквизит «Скан-копии документа» на вкладке «Вложения»</w:t>
            </w:r>
            <w:r/>
          </w:p>
          <w:p>
            <w:pPr>
              <w:pStyle w:val="1316"/>
            </w:pPr>
            <w:r>
              <w:t xml:space="preserve">Не отображается и не заполняется, если реквизит «Тип лицевого счета» ≠ «71»</w:t>
            </w:r>
            <w:r/>
          </w:p>
          <w:p>
            <w:pPr>
              <w:pStyle w:val="1316"/>
            </w:pPr>
            <w:r>
              <w:t xml:space="preserve">Если реквизит «Система-инициатор» = «ЕИС; ПУР КС», заполняется автоматически (при наличии)</w:t>
            </w:r>
            <w:r/>
          </w:p>
        </w:tc>
      </w:tr>
      <w:tr>
        <w:tblPrEx/>
        <w:trPr/>
        <w:tc>
          <w:tcPr>
            <w:tcW w:w="959" w:type="pct"/>
            <w:textDirection w:val="lrTb"/>
            <w:noWrap w:val="false"/>
          </w:tcPr>
          <w:p>
            <w:pPr>
              <w:pStyle w:val="1316"/>
            </w:pPr>
            <w:r>
              <w:t xml:space="preserve">ИГК</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идентификатор государственного контракта.</w:t>
            </w:r>
            <w:r/>
          </w:p>
          <w:p>
            <w:pPr>
              <w:pStyle w:val="1316"/>
            </w:pPr>
            <w:r>
              <w:t xml:space="preserve">Заполняется пользователем вручную.</w:t>
            </w:r>
            <w:r/>
          </w:p>
          <w:p>
            <w:pPr>
              <w:pStyle w:val="1316"/>
            </w:pPr>
            <w:r>
              <w:t xml:space="preserve">Не отображается и не заполняется, если реквизит «Тип лицевого счета» ≠ «71» или реквизита «Тип заявки» = «Резервирование»</w:t>
            </w:r>
            <w:r/>
          </w:p>
          <w:p>
            <w:pPr>
              <w:pStyle w:val="1316"/>
            </w:pPr>
            <w:r>
              <w:t xml:space="preserve">Если реквизит «Система-инициатор» = «ЕИС, ПУР КС», заполняется автоматически</w:t>
            </w:r>
            <w:r/>
          </w:p>
        </w:tc>
      </w:tr>
      <w:tr>
        <w:tblPrEx/>
        <w:trPr/>
        <w:tc>
          <w:tcPr>
            <w:tcW w:w="959" w:type="pct"/>
            <w:textDirection w:val="lrTb"/>
            <w:noWrap w:val="false"/>
          </w:tcPr>
          <w:p>
            <w:pPr>
              <w:pStyle w:val="1316"/>
            </w:pPr>
            <w:r>
              <w:t xml:space="preserve">В связи с</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причина закрытия лицевого счета.</w:t>
            </w:r>
            <w:r/>
          </w:p>
          <w:p>
            <w:pPr>
              <w:pStyle w:val="1316"/>
            </w:pPr>
            <w:r>
              <w:t xml:space="preserve">Заполняется </w:t>
            </w:r>
            <w:r>
              <w:rPr>
                <w:rFonts w:ascii="Times New Roman CYR" w:hAnsi="Times New Roman CYR" w:cs="Times New Roman CYR"/>
                <w:szCs w:val="22"/>
              </w:rPr>
              <w:t xml:space="preserve">пользователем </w:t>
            </w:r>
            <w:r>
              <w:t xml:space="preserve">вручную выбором из списка </w:t>
            </w:r>
            <w:r>
              <w:t xml:space="preserve">допустимых значений </w:t>
            </w:r>
            <w:r/>
          </w:p>
          <w:p>
            <w:pPr>
              <w:pStyle w:val="1316"/>
            </w:pPr>
            <w:r>
              <w:t xml:space="preserve">Не отображается и не заполняется, если реквизит «Тип заявки» ≠ «Закрытие»</w:t>
            </w:r>
            <w:r/>
          </w:p>
          <w:p>
            <w:pPr>
              <w:pStyle w:val="1316"/>
            </w:pPr>
            <w:r>
              <w:t xml:space="preserve">Если реквизит «Тип заявки» = «Закрытие» реквизит обязателен для заполнения</w:t>
            </w:r>
            <w:r/>
          </w:p>
          <w:p>
            <w:pPr>
              <w:pStyle w:val="1316"/>
            </w:pPr>
            <w:r>
              <w:t xml:space="preserve">Если реквизит «Система-инициатор» = «ЕБП» и реквизит «Тип заявки» = «Закрытие», заполняется автоматически</w:t>
            </w:r>
            <w:r/>
          </w:p>
        </w:tc>
      </w:tr>
      <w:tr>
        <w:tblPrEx/>
        <w:trPr/>
        <w:tc>
          <w:tcPr>
            <w:gridSpan w:val="4"/>
            <w:shd w:val="clear" w:color="auto" w:fill="f2f2f2" w:themeFill="background1" w:themeFillShade="F2"/>
            <w:tcW w:w="5000" w:type="pct"/>
            <w:textDirection w:val="lrTb"/>
            <w:noWrap w:val="false"/>
          </w:tcPr>
          <w:p>
            <w:pPr>
              <w:pStyle w:val="1316"/>
              <w:rPr>
                <w:rStyle w:val="1312"/>
              </w:rPr>
            </w:pPr>
            <w:r>
              <w:rPr>
                <w:rStyle w:val="1312"/>
              </w:rPr>
              <w:t xml:space="preserve">Раздел «Реквизиты для перечисления средств, поступивших после закрытия лицевого счета»</w:t>
            </w:r>
            <w:r>
              <w:rPr>
                <w:rStyle w:val="1312"/>
              </w:rPr>
            </w:r>
          </w:p>
          <w:p>
            <w:pPr>
              <w:pStyle w:val="1316"/>
              <w:rPr>
                <w:rStyle w:val="1312"/>
              </w:rPr>
            </w:pPr>
            <w:r>
              <w:t xml:space="preserve">Отображается, если реквизит «Тип заявки» = </w:t>
            </w:r>
            <w:r>
              <w:rPr>
                <w:szCs w:val="22"/>
              </w:rPr>
              <w:t xml:space="preserve">«Закрытие»</w:t>
            </w:r>
            <w:r>
              <w:rPr>
                <w:rStyle w:val="1312"/>
              </w:rPr>
            </w:r>
          </w:p>
        </w:tc>
      </w:tr>
      <w:tr>
        <w:tblPrEx/>
        <w:trPr/>
        <w:tc>
          <w:tcPr>
            <w:tcW w:w="959" w:type="pct"/>
            <w:textDirection w:val="lrTb"/>
            <w:noWrap w:val="false"/>
          </w:tcPr>
          <w:p>
            <w:pPr>
              <w:pStyle w:val="1316"/>
            </w:pPr>
            <w:r>
              <w:t xml:space="preserve">Номер банковского счета</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Да</w:t>
            </w:r>
            <w:r/>
          </w:p>
        </w:tc>
        <w:tc>
          <w:tcPr>
            <w:tcW w:w="3011" w:type="pct"/>
            <w:textDirection w:val="lrTb"/>
            <w:noWrap w:val="false"/>
          </w:tcPr>
          <w:p>
            <w:pPr>
              <w:pStyle w:val="1316"/>
            </w:pPr>
            <w:r>
              <w:t xml:space="preserve">Указывается номер банковского счета.</w:t>
            </w:r>
            <w:r/>
          </w:p>
          <w:p>
            <w:pPr>
              <w:pStyle w:val="1316"/>
            </w:pPr>
            <w:r>
              <w:t xml:space="preserve">Заполняется </w:t>
            </w:r>
            <w:r>
              <w:rPr>
                <w:rFonts w:ascii="Times New Roman CYR" w:hAnsi="Times New Roman CYR" w:cs="Times New Roman CYR"/>
                <w:szCs w:val="22"/>
              </w:rPr>
              <w:t xml:space="preserve">пользователем </w:t>
            </w:r>
            <w:r>
              <w:t xml:space="preserve">вручную</w:t>
            </w:r>
            <w:r/>
          </w:p>
          <w:p>
            <w:pPr>
              <w:pStyle w:val="1316"/>
            </w:pPr>
            <w:r>
              <w:t xml:space="preserve">Не отображается и не заполняется, если реквизит «Тип заявки» ≠ «Закрытие»</w:t>
            </w:r>
            <w:r/>
          </w:p>
          <w:p>
            <w:pPr>
              <w:pStyle w:val="1316"/>
            </w:pPr>
            <w:r>
              <w:t xml:space="preserve">Если реквизит «Система-инициатор» = «ЕБП» и реквизит «Тип заявки» = «Закрытие», заполняется автоматически</w:t>
            </w:r>
            <w:r/>
          </w:p>
        </w:tc>
      </w:tr>
      <w:tr>
        <w:tblPrEx/>
        <w:trPr/>
        <w:tc>
          <w:tcPr>
            <w:tcW w:w="959" w:type="pct"/>
            <w:textDirection w:val="lrTb"/>
            <w:noWrap w:val="false"/>
          </w:tcPr>
          <w:p>
            <w:pPr>
              <w:pStyle w:val="1316"/>
            </w:pPr>
            <w:r>
              <w:t xml:space="preserve">Наименование банка</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Да</w:t>
            </w:r>
            <w:r/>
          </w:p>
        </w:tc>
        <w:tc>
          <w:tcPr>
            <w:tcW w:w="3011" w:type="pct"/>
            <w:textDirection w:val="lrTb"/>
            <w:noWrap w:val="false"/>
          </w:tcPr>
          <w:p>
            <w:pPr>
              <w:pStyle w:val="1316"/>
            </w:pPr>
            <w:r>
              <w:t xml:space="preserve">Указывается наименование банка.</w:t>
            </w:r>
            <w:r/>
          </w:p>
          <w:p>
            <w:pPr>
              <w:pStyle w:val="1316"/>
            </w:pPr>
            <w:r>
              <w:t xml:space="preserve">Заполняется автоматически на основании реквизита «БИК»</w:t>
            </w:r>
            <w:r/>
          </w:p>
          <w:p>
            <w:pPr>
              <w:pStyle w:val="1316"/>
            </w:pPr>
            <w:r>
              <w:t xml:space="preserve">Не отображается и не заполняется, если реквизит «Тип заявки» ≠ «Закрытие»</w:t>
            </w:r>
            <w:r/>
          </w:p>
          <w:p>
            <w:pPr>
              <w:pStyle w:val="1316"/>
            </w:pPr>
            <w:r>
              <w:t xml:space="preserve">Если реквизит «Система-инициатор» = «ЕБП» и реквизит «Тип заявки» = «Закрытие», заполняется автоматически</w:t>
            </w:r>
            <w:r/>
          </w:p>
        </w:tc>
      </w:tr>
      <w:tr>
        <w:tblPrEx/>
        <w:trPr/>
        <w:tc>
          <w:tcPr>
            <w:tcW w:w="959" w:type="pct"/>
            <w:textDirection w:val="lrTb"/>
            <w:noWrap w:val="false"/>
          </w:tcPr>
          <w:p>
            <w:pPr>
              <w:pStyle w:val="1316"/>
            </w:pPr>
            <w:r>
              <w:t xml:space="preserve">БИК</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Да</w:t>
            </w:r>
            <w:r/>
          </w:p>
        </w:tc>
        <w:tc>
          <w:tcPr>
            <w:tcW w:w="3011" w:type="pct"/>
            <w:textDirection w:val="lrTb"/>
            <w:noWrap w:val="false"/>
          </w:tcPr>
          <w:p>
            <w:pPr>
              <w:pStyle w:val="1316"/>
            </w:pPr>
            <w:r>
              <w:t xml:space="preserve">Указывается БИК банка.</w:t>
            </w:r>
            <w:r/>
          </w:p>
          <w:p>
            <w:pPr>
              <w:pStyle w:val="1316"/>
            </w:pPr>
            <w:r>
              <w:t xml:space="preserve">Заполняется </w:t>
            </w:r>
            <w:r>
              <w:rPr>
                <w:rFonts w:ascii="Times New Roman CYR" w:hAnsi="Times New Roman CYR" w:cs="Times New Roman CYR"/>
                <w:szCs w:val="22"/>
              </w:rPr>
              <w:t xml:space="preserve">пользователем </w:t>
            </w:r>
            <w:r>
              <w:t xml:space="preserve">вручную выбором </w:t>
            </w:r>
            <w:r>
              <w:rPr>
                <w:rFonts w:ascii="Times New Roman CYR" w:hAnsi="Times New Roman CYR" w:cs="Times New Roman CYR"/>
                <w:szCs w:val="22"/>
              </w:rPr>
              <w:t xml:space="preserve">из </w:t>
            </w:r>
            <w:r>
              <w:t xml:space="preserve">справочника «Российские банки»</w:t>
            </w:r>
            <w:r/>
          </w:p>
          <w:p>
            <w:pPr>
              <w:pStyle w:val="1316"/>
            </w:pPr>
            <w:r>
              <w:t xml:space="preserve">Не отображается и не заполняется, если реквизит «Тип заявки» ≠ «Закрытие»</w:t>
            </w:r>
            <w:r/>
          </w:p>
          <w:p>
            <w:pPr>
              <w:pStyle w:val="1316"/>
            </w:pPr>
            <w:r>
              <w:t xml:space="preserve">Если реквизит «Система-инициатор» = «ЕБП» и реквизит «Тип заявки» = «Закрытие», заполняется автоматически</w:t>
            </w:r>
            <w:r/>
          </w:p>
        </w:tc>
      </w:tr>
      <w:tr>
        <w:tblPrEx/>
        <w:trPr/>
        <w:tc>
          <w:tcPr>
            <w:tcW w:w="959" w:type="pct"/>
            <w:textDirection w:val="lrTb"/>
            <w:noWrap w:val="false"/>
          </w:tcPr>
          <w:p>
            <w:pPr>
              <w:pStyle w:val="1316"/>
            </w:pPr>
            <w:r>
              <w:t xml:space="preserve">Корреспондентский счет</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Да</w:t>
            </w:r>
            <w:r/>
          </w:p>
        </w:tc>
        <w:tc>
          <w:tcPr>
            <w:tcW w:w="3011" w:type="pct"/>
            <w:textDirection w:val="lrTb"/>
            <w:noWrap w:val="false"/>
          </w:tcPr>
          <w:p>
            <w:pPr>
              <w:pStyle w:val="1316"/>
            </w:pPr>
            <w:r>
              <w:t xml:space="preserve">Указывается корреспондентский счет.</w:t>
            </w:r>
            <w:r/>
          </w:p>
          <w:p>
            <w:pPr>
              <w:pStyle w:val="1316"/>
            </w:pPr>
            <w:r>
              <w:t xml:space="preserve">Заполняется </w:t>
            </w:r>
            <w:r>
              <w:rPr>
                <w:rFonts w:ascii="Times New Roman CYR" w:hAnsi="Times New Roman CYR" w:cs="Times New Roman CYR"/>
                <w:szCs w:val="22"/>
              </w:rPr>
              <w:t xml:space="preserve">пользователем </w:t>
            </w:r>
            <w:r>
              <w:t xml:space="preserve">вручную</w:t>
            </w:r>
            <w:r/>
          </w:p>
          <w:p>
            <w:pPr>
              <w:pStyle w:val="1316"/>
            </w:pPr>
            <w:r>
              <w:t xml:space="preserve">Не отображается и не заполняется, если реквизит «Тип заявки» ≠ «Закрытие»</w:t>
            </w:r>
            <w:r/>
          </w:p>
          <w:p>
            <w:pPr>
              <w:pStyle w:val="1316"/>
            </w:pPr>
            <w:r>
              <w:t xml:space="preserve">Если реквизит «Система-инициатор» = «ЕБП» и реквизит «Тип заявки» = «Закрытие», заполняется автоматически</w:t>
            </w:r>
            <w:r/>
          </w:p>
        </w:tc>
      </w:tr>
      <w:tr>
        <w:tblPrEx/>
        <w:trPr/>
        <w:tc>
          <w:tcPr>
            <w:tcW w:w="959" w:type="pct"/>
            <w:textDirection w:val="lrTb"/>
            <w:noWrap w:val="false"/>
          </w:tcPr>
          <w:p>
            <w:pPr>
              <w:pStyle w:val="1316"/>
            </w:pPr>
            <w:r>
              <w:t xml:space="preserve">Номер Лицевого счета правопреемника</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Да</w:t>
            </w:r>
            <w:r/>
          </w:p>
        </w:tc>
        <w:tc>
          <w:tcPr>
            <w:tcW w:w="3011" w:type="pct"/>
            <w:textDirection w:val="lrTb"/>
            <w:noWrap w:val="false"/>
          </w:tcPr>
          <w:p>
            <w:pPr>
              <w:pStyle w:val="1316"/>
            </w:pPr>
            <w:r>
              <w:t xml:space="preserve">Указывается номер лицевого счета правопреемника.</w:t>
            </w:r>
            <w:r/>
          </w:p>
          <w:p>
            <w:pPr>
              <w:pStyle w:val="1316"/>
            </w:pPr>
            <w:r>
              <w:t xml:space="preserve">Заполняется пользователем вручную выбором из справочника «Книга регистрации лицевых счетов» </w:t>
            </w:r>
            <w:r/>
          </w:p>
          <w:p>
            <w:pPr>
              <w:pStyle w:val="1316"/>
            </w:pPr>
            <w:r>
              <w:t xml:space="preserve">Не отображается и не заполняется, если реквизит «Тип заявки» ≠ «Закрытие»</w:t>
            </w:r>
            <w:r/>
          </w:p>
          <w:p>
            <w:pPr>
              <w:pStyle w:val="1316"/>
            </w:pPr>
            <w:r>
              <w:t xml:space="preserve">Реквизит обязателен для заполнения в случае, когда причина закрытия ЛС: «в связи переводом клиента на обслуживание в другой орган Федерального казначейства» (</w:t>
            </w:r>
            <w:r>
              <w:rPr>
                <w:lang w:val="en-US"/>
              </w:rPr>
              <w:t xml:space="preserve">L</w:t>
            </w:r>
            <w:r>
              <w:t xml:space="preserve">3) ИЛИ «изменением типа учреждения» (</w:t>
            </w:r>
            <w:r>
              <w:rPr>
                <w:lang w:val="en-US"/>
              </w:rPr>
              <w:t xml:space="preserve">L</w:t>
            </w:r>
            <w:r>
              <w:t xml:space="preserve">4)</w:t>
            </w:r>
            <w:r/>
          </w:p>
          <w:p>
            <w:pPr>
              <w:pStyle w:val="1316"/>
            </w:pPr>
            <w:r>
              <w:t xml:space="preserve">Если реквизит «Система-инициатор» = «ЕБП» и реквизит «Тип заявки» = «Закрытие», заполняется автоматически</w:t>
            </w:r>
            <w:r/>
          </w:p>
        </w:tc>
      </w:tr>
      <w:tr>
        <w:tblPrEx/>
        <w:trPr/>
        <w:tc>
          <w:tcPr>
            <w:gridSpan w:val="4"/>
            <w:shd w:val="clear" w:color="auto" w:fill="f2f2f2" w:themeFill="background1" w:themeFillShade="F2"/>
            <w:tcW w:w="5000" w:type="pct"/>
            <w:textDirection w:val="lrTb"/>
            <w:noWrap w:val="false"/>
          </w:tcPr>
          <w:p>
            <w:pPr>
              <w:pStyle w:val="1316"/>
              <w:rPr>
                <w:rStyle w:val="1312"/>
              </w:rPr>
            </w:pPr>
            <w:r>
              <w:rPr>
                <w:rStyle w:val="1312"/>
              </w:rPr>
              <w:t xml:space="preserve">Раздел «Орган Федерального казначейства (в т.ч. центр специализации)/Финансовый орган резервирования лицевого счета»</w:t>
            </w:r>
            <w:r>
              <w:rPr>
                <w:rStyle w:val="1312"/>
              </w:rPr>
            </w:r>
          </w:p>
          <w:p>
            <w:pPr>
              <w:pStyle w:val="1316"/>
              <w:rPr>
                <w:rStyle w:val="1312"/>
              </w:rPr>
            </w:pPr>
            <w:r>
              <w:t xml:space="preserve">Отображается и обязателен для заполнения в случае, если значение реквизита «Тип заявки» = «Резервирование»</w:t>
            </w:r>
            <w:r>
              <w:rPr>
                <w:rStyle w:val="1312"/>
              </w:rPr>
            </w:r>
          </w:p>
        </w:tc>
      </w:tr>
      <w:tr>
        <w:tblPrEx/>
        <w:trPr/>
        <w:tc>
          <w:tcPr>
            <w:tcW w:w="959" w:type="pct"/>
            <w:textDirection w:val="lrTb"/>
            <w:noWrap w:val="false"/>
          </w:tcPr>
          <w:p>
            <w:pPr>
              <w:pStyle w:val="1316"/>
            </w:pPr>
            <w:r>
              <w:t xml:space="preserve">Код ТОФК/ФО</w:t>
            </w:r>
            <w:r/>
          </w:p>
          <w:p>
            <w:pPr>
              <w:pStyle w:val="1316"/>
            </w:pPr>
            <w:r>
              <w:t xml:space="preserve">(резервирования)</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w:t>
            </w:r>
            <w:r>
              <w:rPr>
                <w:szCs w:val="22"/>
              </w:rPr>
              <w:t xml:space="preserve">код ТОФК/ФО.</w:t>
            </w:r>
            <w:r/>
          </w:p>
          <w:p>
            <w:pPr>
              <w:pStyle w:val="1316"/>
            </w:pPr>
            <w:r>
              <w:t xml:space="preserve">Заполняется:</w:t>
            </w:r>
            <w:r/>
          </w:p>
          <w:p>
            <w:pPr>
              <w:pStyle w:val="1316"/>
            </w:pPr>
            <w:r>
              <w:t xml:space="preserve">1. Если реквизит «Обслуживается в ФО» = «Да» И реквизит «Тип Заявки» = «Резервирование»</w:t>
            </w:r>
            <w:r>
              <w:t xml:space="preserve"> И реквизит «Тип лицевого счета» = «71» И реквизит «Код бюджета» ≠ «99010001», то заполняется вручную значением реквизита «Код» выбранной актуальной записи из справочника «ТОФК» (для выбора отображаются актуальные записи, с признаком «Является ФО» = «Да»).</w:t>
            </w:r>
            <w:r/>
          </w:p>
          <w:p>
            <w:pPr>
              <w:pStyle w:val="1316"/>
            </w:pPr>
            <w:r>
              <w:t xml:space="preserve">2. Если реквизит «Обслуживается в ФО» = «Нет».</w:t>
            </w:r>
            <w:r/>
          </w:p>
          <w:p>
            <w:pPr>
              <w:pStyle w:val="1316"/>
            </w:pPr>
            <w:r>
              <w:t xml:space="preserve">2.1. Если реквизит «Тип Заявки» = «Резервирование» И реквизит «Тип лицевого счета» = «71» И реквизит «Код бюджет</w:t>
            </w:r>
            <w:r>
              <w:t xml:space="preserve">а» = «99010001» И (реквизит «Тип организации / клиента - создателя Заявки» = «Клиент» или «ТОФК» ИЛИ реквизит «Система-инициатор» = «ЕИС» или «Внешний сервис»), то заполняется автоматически значением реквизита «Код ТОФК» раздела «ТОФК - Центр специализации</w:t>
            </w:r>
            <w:r>
              <w:t xml:space="preserve">» актуальной записи справочника «Центры специализации», у которой значение реквизита «Код субъект РФ» равно значению реквизита «Код субъекта» данной Заявки КРЛС И значение реквизита «Тип ЛС» равно значению реквизита «Тип лицевого счета» данной Заявки КРЛС.</w:t>
            </w:r>
            <w:r/>
          </w:p>
          <w:p>
            <w:pPr>
              <w:pStyle w:val="1316"/>
            </w:pPr>
            <w:r>
              <w:t xml:space="preserve">2.2. Если рекв</w:t>
            </w:r>
            <w:r>
              <w:t xml:space="preserve">изит «Тип Заявки» = «Резервирование» И реквизит «Тип лицевого счета» = «71» И реквизит «Код бюджета» = «99010001» И реквизит «Тип организации / клиента - создателя Заявки» = «ТОФК ЦС», то заполняется автоматически значением реквизита «Код по КОФК» актуальн</w:t>
            </w:r>
            <w:r>
              <w:t xml:space="preserve">ой записи справочника «Сводный реестр», в соответствии с данными учетной записи пользователя, создающего Заявку (из справочника «Сводный реестр» отбирается актуальная запись, у которой «Код организации» = «Код организации» пользователя, создающего Заявку).</w:t>
            </w:r>
            <w:r/>
          </w:p>
          <w:p>
            <w:pPr>
              <w:pStyle w:val="1316"/>
            </w:pPr>
            <w:r>
              <w:t xml:space="preserve">2.3. Если реквизит «Тип Заявки» = «Резервирование» И реквизит «Тип лицевого счета» = «71» И реквизит «Код бюджета» ≠ «99010001», то заполняется автоматически значением реквизита «ТОФК» из справочника «Перечень </w:t>
            </w:r>
            <w:r>
              <w:t xml:space="preserve">бюджетов» (в формате «ХХ00», где ХХ - первые 2 символа реквизита «ТОФК», последние два символа обнуляются) (из справочника отбирается актуальная запись, у которой значение реквизита «Код бюджета» равно значению реквизита «Код бюджета» данной Заявки КРЛС). </w:t>
            </w:r>
            <w:r/>
          </w:p>
          <w:p>
            <w:pPr>
              <w:pStyle w:val="1316"/>
            </w:pPr>
            <w:r>
              <w:t xml:space="preserve">2.4. Если реквизит «Система-инициатор» = «ЕИС» или «Внешний сервис» И реквизит «Код ТОФК/ФО по месту резервирования» не заполнен в 2.1. - 2.3., то заполняется </w:t>
            </w:r>
            <w:r>
              <w:t xml:space="preserve">автоматически значением реквизита «Код ТОФК» раздела «ТОФК по субъекту РФ</w:t>
            </w:r>
            <w:r>
              <w:t xml:space="preserve">» актуальной записи справочника «Центры специализации», у которой значение реквизита «Код субъект РФ» равно значению реквизита «Код субъекта» данной Заявки КРЛС И значение реквизита «Тип ЛС» равно значению реквизита «Тип лицевого счета» данной Заявки КРЛС.</w:t>
            </w:r>
            <w:r/>
          </w:p>
          <w:p>
            <w:pPr>
              <w:pStyle w:val="1316"/>
            </w:pPr>
            <w:r>
              <w:t xml:space="preserve">Если реквизит «Тип организации/ клиента - создателя Заявки» ≠ «Клиент», то реквизит доступен для перевыбора из справочника «Сос</w:t>
            </w:r>
            <w:r>
              <w:t xml:space="preserve">тавы УФК», у которой «Код УФК по СвР» = «Код организации» актуальной записи справочника «Сводный реестр», в соответствии с данными учетной записи пользователя, создающего Заявку (доступно только для пользователей ТОФК указанных в справочнике «Составы УФК»)</w:t>
            </w:r>
            <w:r/>
          </w:p>
          <w:p>
            <w:pPr>
              <w:pStyle w:val="1316"/>
            </w:pPr>
            <w:r>
              <w:t xml:space="preserve">Если реквизит «Система-инициатор» ≠ «НСИ ЭБ», заполняется автоматически</w:t>
            </w:r>
            <w:r/>
          </w:p>
        </w:tc>
      </w:tr>
      <w:tr>
        <w:tblPrEx/>
        <w:trPr/>
        <w:tc>
          <w:tcPr>
            <w:tcW w:w="959" w:type="pct"/>
            <w:textDirection w:val="lrTb"/>
            <w:noWrap w:val="false"/>
          </w:tcPr>
          <w:p>
            <w:pPr>
              <w:pStyle w:val="1316"/>
            </w:pPr>
            <w:r>
              <w:t xml:space="preserve">Наименование ТОФК/ФО</w:t>
            </w:r>
            <w:r/>
          </w:p>
          <w:p>
            <w:pPr>
              <w:pStyle w:val="1316"/>
            </w:pPr>
            <w:r>
              <w:t xml:space="preserve">(резервирования)</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наименование ТОФК/ФО резервирования лицевого счета.</w:t>
            </w:r>
            <w:r/>
          </w:p>
          <w:p>
            <w:pPr>
              <w:pStyle w:val="1316"/>
            </w:pPr>
            <w:r>
              <w:t xml:space="preserve">Заполняется автоматически на основании реквизита «Код ТОФК/ФО»</w:t>
            </w:r>
            <w:r/>
          </w:p>
          <w:p>
            <w:pPr>
              <w:pStyle w:val="1316"/>
            </w:pPr>
            <w:r>
              <w:t xml:space="preserve">Если реквизит «Система-инициатор» ≠ «НСИ ЭБ», заполняется автоматически</w:t>
            </w:r>
            <w:r/>
          </w:p>
        </w:tc>
      </w:tr>
      <w:tr>
        <w:tblPrEx/>
        <w:trPr/>
        <w:tc>
          <w:tcPr>
            <w:tcW w:w="959" w:type="pct"/>
            <w:textDirection w:val="lrTb"/>
            <w:noWrap w:val="false"/>
          </w:tcPr>
          <w:p>
            <w:pPr>
              <w:pStyle w:val="1316"/>
            </w:pPr>
            <w:r>
              <w:t xml:space="preserve">Код ТОФК/ФО по СВР</w:t>
            </w:r>
            <w:r/>
          </w:p>
          <w:p>
            <w:pPr>
              <w:pStyle w:val="1316"/>
            </w:pPr>
            <w:r>
              <w:t xml:space="preserve">(резервирования)</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наименование ТОФК/ФО резервирования лицевого счета.</w:t>
            </w:r>
            <w:r/>
          </w:p>
          <w:p>
            <w:pPr>
              <w:pStyle w:val="1316"/>
            </w:pPr>
            <w:r>
              <w:t xml:space="preserve">Заполняется автоматически на основании реквизита «Код ТОФК/ФО»</w:t>
            </w:r>
            <w:r/>
          </w:p>
          <w:p>
            <w:pPr>
              <w:pStyle w:val="1316"/>
            </w:pPr>
            <w:r>
              <w:t xml:space="preserve">Если реквизит «Система-инициатор» ≠ «НСИ ЭБ», заполняется автоматически</w:t>
            </w:r>
            <w:r/>
          </w:p>
        </w:tc>
      </w:tr>
      <w:tr>
        <w:tblPrEx/>
        <w:trPr/>
        <w:tc>
          <w:tcPr>
            <w:gridSpan w:val="4"/>
            <w:shd w:val="clear" w:color="auto" w:fill="f2f2f2" w:themeFill="background1" w:themeFillShade="F2"/>
            <w:tcW w:w="5000" w:type="pct"/>
            <w:textDirection w:val="lrTb"/>
            <w:noWrap w:val="false"/>
          </w:tcPr>
          <w:p>
            <w:pPr>
              <w:pStyle w:val="1316"/>
              <w:rPr>
                <w:rStyle w:val="1312"/>
              </w:rPr>
            </w:pPr>
            <w:r>
              <w:rPr>
                <w:rStyle w:val="1312"/>
              </w:rPr>
              <w:t xml:space="preserve">Раздел «Орган Федерального казначейства (в т.ч. центр специализации)/Финансовый орган по месту открытия лицевого счета»</w:t>
            </w:r>
            <w:r>
              <w:rPr>
                <w:rStyle w:val="1312"/>
              </w:rPr>
            </w:r>
          </w:p>
          <w:p>
            <w:pPr>
              <w:pStyle w:val="1316"/>
              <w:rPr>
                <w:rStyle w:val="1312"/>
              </w:rPr>
            </w:pPr>
            <w:r>
              <w:t xml:space="preserve">Отображается, если реквизит «Тип заявки» ≠ «Резервирование»</w:t>
            </w:r>
            <w:r>
              <w:rPr>
                <w:rStyle w:val="1312"/>
              </w:rPr>
            </w:r>
          </w:p>
        </w:tc>
      </w:tr>
      <w:tr>
        <w:tblPrEx/>
        <w:trPr/>
        <w:tc>
          <w:tcPr>
            <w:tcW w:w="959" w:type="pct"/>
            <w:textDirection w:val="lrTb"/>
            <w:noWrap w:val="false"/>
          </w:tcPr>
          <w:p>
            <w:pPr>
              <w:pStyle w:val="1316"/>
            </w:pPr>
            <w:r>
              <w:t xml:space="preserve">Код ТОФК/ФО</w:t>
            </w:r>
            <w:r/>
          </w:p>
          <w:p>
            <w:pPr>
              <w:pStyle w:val="1316"/>
            </w:pPr>
            <w:r>
              <w:t xml:space="preserve">(открытия)</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Да</w:t>
            </w:r>
            <w:r/>
          </w:p>
        </w:tc>
        <w:tc>
          <w:tcPr>
            <w:tcW w:w="3011" w:type="pct"/>
            <w:textDirection w:val="lrTb"/>
            <w:noWrap w:val="false"/>
          </w:tcPr>
          <w:p>
            <w:pPr>
              <w:pStyle w:val="1316"/>
            </w:pPr>
            <w:r>
              <w:t xml:space="preserve">Указывается код ТОФК/ФО по месту открытия лицевого счета.</w:t>
            </w:r>
            <w:r/>
          </w:p>
          <w:p>
            <w:pPr>
              <w:pStyle w:val="1316"/>
            </w:pPr>
            <w:r>
              <w:t xml:space="preserve">Заполняется:</w:t>
            </w:r>
            <w:r/>
          </w:p>
          <w:p>
            <w:pPr>
              <w:pStyle w:val="1316"/>
            </w:pPr>
            <w:r>
              <w:t xml:space="preserve">1. Если реквизит «Обслуживается в ФО» = «Да» И реквизит «Тип Заявки» = «Открытие» И реквизит «Код бюджета» ≠ «99010001», </w:t>
            </w:r>
            <w:r/>
          </w:p>
          <w:p>
            <w:pPr>
              <w:pStyle w:val="1316"/>
            </w:pPr>
            <w:r>
              <w:t xml:space="preserve">то заполняется вручную значением реквизита «Код» выбранной актуальной записи из справочника «ТОФК» </w:t>
            </w:r>
            <w:r/>
          </w:p>
          <w:p>
            <w:pPr>
              <w:pStyle w:val="1316"/>
            </w:pPr>
            <w:r>
              <w:t xml:space="preserve">(для выбора отображаются актуальные записи, с признаком «Является ФО» = «Да»).</w:t>
            </w:r>
            <w:r/>
          </w:p>
          <w:p>
            <w:pPr>
              <w:pStyle w:val="1316"/>
            </w:pPr>
            <w:r>
              <w:t xml:space="preserve">2. Если реквизит «Обслуживается в ФО» = «Нет».</w:t>
            </w:r>
            <w:r/>
          </w:p>
          <w:p>
            <w:pPr>
              <w:pStyle w:val="1316"/>
            </w:pPr>
            <w:r>
              <w:t xml:space="preserve">2.1. Если реквизит «Тип Заявки» = «Открытие» И реквизит «Признак централизации» = «0 – не централизован» И реквизит «Тип лицевого счета» ≠ «71» И реквизит «Тип организации / клиента - создателя Заявки» = «Клиент», то за</w:t>
            </w:r>
            <w:r>
              <w:t xml:space="preserve">полняется автоматически значением реквизита «Код ТОФК» раздела «Сведения о месте нахождения организации на территории Российской Федерации» актуальной записи справочника «Сводный ре</w:t>
            </w:r>
            <w:r>
              <w:t xml:space="preserve">естр», выбранной при заполнении реквизита «Код клиента по Сводному реестру/реестру ИП, КФХ» (из справочника «Сводный реестр» отбирается актуальная запись, у которой «Код организации» = «Код клиента по Сводному реестру/реестру ИП, КФХ» данной Заявки КРЛС). </w:t>
            </w:r>
            <w:r/>
          </w:p>
          <w:p>
            <w:pPr>
              <w:pStyle w:val="1316"/>
            </w:pPr>
            <w:r>
              <w:t xml:space="preserve">2.2. Если реквизит «Тип Заявки</w:t>
            </w:r>
            <w:r>
              <w:t xml:space="preserve">» = «Открытие» И реквизит «Признак централизации» = «0 – не централизован» И реквизит «Тип лицевого счета» ≠ «71» И реквизит «Тип организации / клиента - создателя Заявки» ≠ «Клиент», то заполняется автоматически значением реквизита «Код по КОФК» актуально</w:t>
            </w:r>
            <w:r>
              <w:t xml:space="preserve">й записи справочника «Сводный реестр», в соответствии с данными учетной записи пользователя, создающего Заявку (из справочника «Сводный реестр» отбирается актуальная запись, у которой «Код организации» = «Код организации» пользователя, создающего Заявку). </w:t>
            </w:r>
            <w:r/>
          </w:p>
          <w:p>
            <w:pPr>
              <w:pStyle w:val="1316"/>
            </w:pPr>
            <w:r>
              <w:t xml:space="preserve">2.3. Если реквизит «Тип Заявки» = «Открытие» И реквизит «Признак централизации» = «0 – не централизован» И реквизит «Тип лицевого счета» = «71», то заполняется автоматически значением реквизита «ТОФК» из справочника «Перечень </w:t>
            </w:r>
            <w:r>
              <w:t xml:space="preserve">бюджетов» (в формате "ХХ00", где ХХ - первые 2 символа реквизита «ТОФК», последние два символа обнуляются) (из справочника отбирается актуальная запись, у которой значение реквизита «Код бюджета» равно значению реквизита «Код бюджета» данной Заявки КРЛС). </w:t>
            </w:r>
            <w:r/>
          </w:p>
          <w:p>
            <w:pPr>
              <w:pStyle w:val="1316"/>
            </w:pPr>
            <w:r>
              <w:t xml:space="preserve">2.4. Если реквизит «Тип Заявки» = «Открытие» И реквизит «Признак централизации» = «1 – централизован» И реквизит «Код бюджет</w:t>
            </w:r>
            <w:r>
              <w:t xml:space="preserve">а» = «99010001» И (реквизит «Тип организации / клиента - создателя Заявки» = «Клиент» или «ТОФК» ИЛИ реквизит «Система-инициатор» = «ЕИС» или «Внешний сервис»), то заполняется автоматически значением реквизита «Код ТОФК» раздела «ТОФК - Центр специализации</w:t>
            </w:r>
            <w:r>
              <w:t xml:space="preserve">» актуальной записи справочника «Центры специализации», у которой значение реквизита «Код субъект РФ» равно значению реквизита «Код субъекта» данной Заявки КРЛС И значение реквизита «Тип ЛС» равно значению реквизита «Тип лицевого счета» данной Заявки КРЛС.</w:t>
            </w:r>
            <w:r/>
          </w:p>
          <w:p>
            <w:pPr>
              <w:pStyle w:val="1316"/>
            </w:pPr>
            <w:r>
              <w:t xml:space="preserve">2.5. Если реквизит «Тип Заявки» = «Открытие» И реквизит «Признак централизации» = «1 – централизован» И реквизит «Код бюджета» = «99010001» И реквизит «Тип организации / клиента - создателя Заявки» = «ТОФК ЦС», то заполняется авт</w:t>
            </w:r>
            <w:r>
              <w:t xml:space="preserve">оматически значением реквизита «Код по КОФК» актуальной записи справочника «Сводный реестр», в соответствии с данными учетной записи пользователя, создающего Заявку (из справочника «Сводный реестр» отбирается актуальная запись, у которой «Код организации» </w:t>
            </w:r>
            <w:r>
              <w:t xml:space="preserve">= «Код организации» пользователя, создающего Заявку). </w:t>
            </w:r>
            <w:r/>
          </w:p>
          <w:p>
            <w:pPr>
              <w:pStyle w:val="1316"/>
            </w:pPr>
            <w:r>
              <w:t xml:space="preserve">2.6. Если реквизит «Тип Заявки» = «Открытие» И реквизит </w:t>
            </w:r>
            <w:r>
              <w:t xml:space="preserve">«Признак централизации» = «0 – не централизован» И реквизит «Система-инициатор» = «ЕИС» или «Внешний сервис» И реквизит «Код ТОФК/ФО по месту открытия ЛС» не заполнен, то заполняется автоматически значением реквизита «Код ТОФК» раздела «ТОФК по субъекту РФ</w:t>
            </w:r>
            <w:r>
              <w:t xml:space="preserve">» актуальной записи справочника «Центры специализации», у которой значение реквизита «Код субъект РФ» равно значению реквизита «Код субъекта» данной Заявки КРЛС И значение реквизита «Тип ЛС» равно значению реквизита «Тип лицевого счета» данной Заявки КРЛС.</w:t>
            </w:r>
            <w:r/>
          </w:p>
          <w:p>
            <w:pPr>
              <w:pStyle w:val="1316"/>
            </w:pPr>
            <w:r>
              <w:t xml:space="preserve">Если реквизит «Тип организации/ клиента - создателя Заявки» ≠ «Клиент», то реквизит доступен для перевыбора из справочника «Сост</w:t>
            </w:r>
            <w:r>
              <w:t xml:space="preserve">авы УФК», у которой «Код УФК по СвР» = «Код организации» актуальной записи справочника «Сводный реестр», в соответствии с данными учетной записи пользователя, создающего Заявку (доступно только для пользователей ТОФК указанных в справочнике «Составы УФК»).</w:t>
            </w:r>
            <w:r/>
          </w:p>
          <w:p>
            <w:pPr>
              <w:pStyle w:val="1316"/>
            </w:pPr>
            <w:r>
              <w:t xml:space="preserve">3. Если реквизит «Тип Заявки» = «Переоформление», «Изменение»</w:t>
            </w:r>
            <w:r>
              <w:t xml:space="preserve"> или «Закрытие», то автоматически значением реквизита «Код ТОФК/ФО по месту открытия ЛС» родительской записи справочника «Книга регистрации лицевых счетов», выбранной при заполнении реквизита «Номер лицевого счета». Реквизит не доступен для редактирования.</w:t>
            </w:r>
            <w:r/>
          </w:p>
          <w:p>
            <w:pPr>
              <w:pStyle w:val="1316"/>
            </w:pPr>
            <w:r>
              <w:t xml:space="preserve">Если реквизит «Тип З</w:t>
            </w:r>
            <w:r>
              <w:t xml:space="preserve">аявки» = «Изменение» и реквизит «Выполнить перевод клиента на обслуживание в другой ТОФК/ФО» = «Да», то доступен для редактирования: заполняется вручную значением выбранной актуальной записи из справочника «ТОФК» (для выбора отображаются актуальные записи)</w:t>
            </w:r>
            <w:r/>
          </w:p>
          <w:p>
            <w:pPr>
              <w:pStyle w:val="1316"/>
            </w:pPr>
            <w:r>
              <w:t xml:space="preserve">Если реквизит «Система-инициатор» ≠ «НСИ ЭБ», заполняется автоматически</w:t>
            </w:r>
            <w:r/>
          </w:p>
        </w:tc>
      </w:tr>
      <w:tr>
        <w:tblPrEx/>
        <w:trPr/>
        <w:tc>
          <w:tcPr>
            <w:tcW w:w="959" w:type="pct"/>
            <w:textDirection w:val="lrTb"/>
            <w:noWrap w:val="false"/>
          </w:tcPr>
          <w:p>
            <w:pPr>
              <w:pStyle w:val="1316"/>
            </w:pPr>
            <w:r>
              <w:t xml:space="preserve">Наименование ТОФК/ФО</w:t>
            </w:r>
            <w:r/>
          </w:p>
          <w:p>
            <w:pPr>
              <w:pStyle w:val="1316"/>
            </w:pPr>
            <w:r>
              <w:t xml:space="preserve">(открытия)</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Да</w:t>
            </w:r>
            <w:r/>
          </w:p>
        </w:tc>
        <w:tc>
          <w:tcPr>
            <w:tcW w:w="3011" w:type="pct"/>
            <w:textDirection w:val="lrTb"/>
            <w:noWrap w:val="false"/>
          </w:tcPr>
          <w:p>
            <w:pPr>
              <w:pStyle w:val="1316"/>
            </w:pPr>
            <w:r>
              <w:t xml:space="preserve">Указывается наименование ТОФК/ФО по месту открытия лицевого счета.</w:t>
            </w:r>
            <w:r/>
          </w:p>
          <w:p>
            <w:pPr>
              <w:pStyle w:val="1316"/>
            </w:pPr>
            <w:r>
              <w:t xml:space="preserve">Заполняется автоматически на основании реквизита «Код ТОФК/ФО»</w:t>
            </w:r>
            <w:r/>
          </w:p>
          <w:p>
            <w:pPr>
              <w:pStyle w:val="1316"/>
            </w:pPr>
            <w:r>
              <w:t xml:space="preserve">Если реквизит «Система-инициатор» ≠ «НСИ ЭБ», заполняется автоматически</w:t>
            </w:r>
            <w:r/>
          </w:p>
        </w:tc>
      </w:tr>
      <w:tr>
        <w:tblPrEx/>
        <w:trPr/>
        <w:tc>
          <w:tcPr>
            <w:tcW w:w="959" w:type="pct"/>
            <w:textDirection w:val="lrTb"/>
            <w:noWrap w:val="false"/>
          </w:tcPr>
          <w:p>
            <w:pPr>
              <w:pStyle w:val="1316"/>
            </w:pPr>
            <w:r>
              <w:t xml:space="preserve">Код ТОФК/ФО по СВР</w:t>
            </w:r>
            <w:r/>
          </w:p>
          <w:p>
            <w:pPr>
              <w:pStyle w:val="1316"/>
            </w:pPr>
            <w:r>
              <w:t xml:space="preserve">(открытия)</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наименование ТОФК/ФО по месту открытия лицевого счета.</w:t>
            </w:r>
            <w:r/>
          </w:p>
          <w:p>
            <w:pPr>
              <w:pStyle w:val="1316"/>
            </w:pPr>
            <w:r>
              <w:t xml:space="preserve">Заполняется автоматически на основании реквизита «Код ТОФК/ФО»</w:t>
            </w:r>
            <w:r/>
          </w:p>
          <w:p>
            <w:pPr>
              <w:pStyle w:val="1316"/>
            </w:pPr>
            <w:r>
              <w:t xml:space="preserve">Если реквизит «Система-инициатор» ≠ «НСИ ЭБ», заполняется автоматически</w:t>
            </w:r>
            <w:r/>
          </w:p>
        </w:tc>
      </w:tr>
      <w:tr>
        <w:tblPrEx/>
        <w:trPr/>
        <w:tc>
          <w:tcPr>
            <w:gridSpan w:val="4"/>
            <w:shd w:val="clear" w:color="auto" w:fill="f2f2f2" w:themeFill="background1" w:themeFillShade="F2"/>
            <w:tcW w:w="5000" w:type="pct"/>
            <w:textDirection w:val="lrTb"/>
            <w:noWrap w:val="false"/>
          </w:tcPr>
          <w:p>
            <w:pPr>
              <w:pStyle w:val="1316"/>
              <w:pageBreakBefore/>
              <w:rPr>
                <w:rStyle w:val="1312"/>
              </w:rPr>
            </w:pPr>
            <w:r>
              <w:rPr>
                <w:rStyle w:val="1312"/>
              </w:rPr>
              <w:t xml:space="preserve">Раздел «</w:t>
            </w:r>
            <w:r>
              <w:rPr>
                <w:rStyle w:val="1312"/>
              </w:rPr>
              <w:tab/>
              <w:t xml:space="preserve">Орган Федерального казначейства (в т.ч. центр специализации)/Финансовый орган по месту нахождения клиента»</w:t>
            </w:r>
            <w:r>
              <w:rPr>
                <w:rStyle w:val="1312"/>
              </w:rPr>
            </w:r>
          </w:p>
          <w:p>
            <w:pPr>
              <w:pStyle w:val="1316"/>
              <w:rPr>
                <w:rStyle w:val="1312"/>
              </w:rPr>
            </w:pPr>
            <w:r>
              <w:t xml:space="preserve">Отображается в случае, если значение реквизита «Тип Заявки» = «Резервирование» или «Открытие» И реквизит «Признак централизации» = «1 – централизован» или реквизит «Тип лицевого счета» = «71»</w:t>
            </w:r>
            <w:r>
              <w:rPr>
                <w:rStyle w:val="1312"/>
              </w:rPr>
            </w:r>
          </w:p>
        </w:tc>
      </w:tr>
      <w:tr>
        <w:tblPrEx/>
        <w:trPr/>
        <w:tc>
          <w:tcPr>
            <w:tcW w:w="959" w:type="pct"/>
            <w:textDirection w:val="lrTb"/>
            <w:noWrap w:val="false"/>
          </w:tcPr>
          <w:p>
            <w:pPr>
              <w:pStyle w:val="1316"/>
            </w:pPr>
            <w:r>
              <w:t xml:space="preserve">Код ТОФК/ФО</w:t>
            </w:r>
            <w:r/>
          </w:p>
          <w:p>
            <w:pPr>
              <w:pStyle w:val="1316"/>
            </w:pPr>
            <w:r>
              <w:t xml:space="preserve">(местонахождения)</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Да</w:t>
            </w:r>
            <w:r/>
          </w:p>
        </w:tc>
        <w:tc>
          <w:tcPr>
            <w:tcW w:w="3011" w:type="pct"/>
            <w:textDirection w:val="lrTb"/>
            <w:noWrap w:val="false"/>
          </w:tcPr>
          <w:p>
            <w:pPr>
              <w:pStyle w:val="1316"/>
            </w:pPr>
            <w:r>
              <w:t xml:space="preserve">Указывается код ТОФК по месту нахождения клиента</w:t>
            </w:r>
            <w:r/>
          </w:p>
          <w:p>
            <w:pPr>
              <w:pStyle w:val="1316"/>
            </w:pPr>
            <w:r>
              <w:t xml:space="preserve">Заполняется: </w:t>
            </w:r>
            <w:r/>
          </w:p>
          <w:p>
            <w:pPr>
              <w:pStyle w:val="1316"/>
            </w:pPr>
            <w:r>
              <w:t xml:space="preserve">1. Если реквизит «Тип Заявки» = «Резервирование» или «Открытие» И:</w:t>
            </w:r>
            <w:r/>
          </w:p>
          <w:p>
            <w:pPr>
              <w:pStyle w:val="1316"/>
            </w:pPr>
            <w:r>
              <w:t xml:space="preserve">1.1. Если реквизит «Обслуживается в ФО» = «Да», то заполняется автоматически значением реквизита «Код ТОФК» раздела «Сведения о месте нахождения организации на территории Российской Федерации» актуал</w:t>
            </w:r>
            <w:r>
              <w:t xml:space="preserve">ьной записи справочника «Сводный реестр», выбранной при заполнении реквизита «Код ТОФК/ФО по месту открытия ЛС» (из справочника «Сводный реестр» отбирается актуальная запись, у которой «Код по КОФК» = «Код ТОФК/ФО по месту открытия ЛС» данной Заявки КРЛС).</w:t>
            </w:r>
            <w:r/>
          </w:p>
          <w:p>
            <w:pPr>
              <w:pStyle w:val="1316"/>
            </w:pPr>
            <w:r>
              <w:t xml:space="preserve">1.2. Если реквизит «Обслуживается в ФО» = «Нет», то заполняется автоматически значением реквизита «Код ТОФК» раздела «Сведения о месте нахождения организа</w:t>
            </w:r>
            <w:r>
              <w:t xml:space="preserve">ции на территории Российской Федерации» актуальной записи справочника «Сводный реестр» или значением реквизита «Код по Сводному реестру» раздела «Сведения об организации, предоставляющей информацию для включения в Реестр ИП и КФХ» актуальной записи справоч</w:t>
            </w:r>
            <w:r>
              <w:t xml:space="preserve">ника «Реестр ИП и КФХ», выбранной при заполнении реквизита «Код клиента по Сводному реестру/реестру ИП, КФХ» (из справочника отбирается актуальная запись, у которой «Код организации» = «Код клиента по Сводному реестру/реестру ИП, КФХ» данной Заявки КРЛС). </w:t>
            </w:r>
            <w:r/>
          </w:p>
          <w:p>
            <w:pPr>
              <w:pStyle w:val="1316"/>
            </w:pPr>
            <w:r>
              <w:t xml:space="preserve">Если реквизит не заполнен на шаге 1.1, 1.2, то заполняется автоматически значением реквизита «Код по КОФК» актуальн</w:t>
            </w:r>
            <w:r>
              <w:t xml:space="preserve">ой записи справочника «Сводный реестр», в соответствии с данными учетной записи пользователя, создающего Заявку (из справочника «Сводный реестр» отбирается актуальная запись, у которой «Код организации» = «Код организации» пользователя, создающего Заявку).</w:t>
            </w:r>
            <w:r/>
          </w:p>
          <w:p>
            <w:pPr>
              <w:pStyle w:val="1316"/>
            </w:pPr>
            <w:r>
              <w:t xml:space="preserve">2. Если реквизит «Тип За</w:t>
            </w:r>
            <w:r>
              <w:t xml:space="preserve">явки» = «Переоформление», «Изменение» или «Закрытие», то автоматически значением реквизита «Код ТОФК по месту нахождения клиента» родительской записи справочника «Книга регистрации лицевых счетов», выбранной при заполнении реквизита «Номер лицевого счета».</w:t>
            </w:r>
            <w:r/>
          </w:p>
          <w:p>
            <w:pPr>
              <w:pStyle w:val="1316"/>
            </w:pPr>
            <w:r>
              <w:t xml:space="preserve">Реквизит не доступен для редактирования</w:t>
            </w:r>
            <w:r/>
          </w:p>
          <w:p>
            <w:pPr>
              <w:pStyle w:val="1316"/>
            </w:pPr>
            <w:r>
              <w:t xml:space="preserve">Если реквизит «Система-инициатор» ≠ «НСИ ЭБ», заполняется автоматически</w:t>
            </w:r>
            <w:r/>
          </w:p>
        </w:tc>
      </w:tr>
      <w:tr>
        <w:tblPrEx/>
        <w:trPr/>
        <w:tc>
          <w:tcPr>
            <w:tcW w:w="959" w:type="pct"/>
            <w:textDirection w:val="lrTb"/>
            <w:noWrap w:val="false"/>
          </w:tcPr>
          <w:p>
            <w:pPr>
              <w:pStyle w:val="1316"/>
            </w:pPr>
            <w:r>
              <w:t xml:space="preserve">Наименование </w:t>
            </w:r>
            <w:r>
              <w:t xml:space="preserve">ТОФК/ФО</w:t>
            </w:r>
            <w:r/>
          </w:p>
          <w:p>
            <w:pPr>
              <w:pStyle w:val="1316"/>
            </w:pPr>
            <w:r>
              <w:t xml:space="preserve">(местонахождения)</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Да</w:t>
            </w:r>
            <w:r/>
          </w:p>
        </w:tc>
        <w:tc>
          <w:tcPr>
            <w:tcW w:w="3011" w:type="pct"/>
            <w:textDirection w:val="lrTb"/>
            <w:noWrap w:val="false"/>
          </w:tcPr>
          <w:p>
            <w:pPr>
              <w:pStyle w:val="1316"/>
            </w:pPr>
            <w:r>
              <w:t xml:space="preserve">Указывается наименование ТОФК/ФО по месту нахожде</w:t>
            </w:r>
            <w:r>
              <w:t xml:space="preserve">ния лицевого счета.</w:t>
            </w:r>
            <w:r/>
          </w:p>
          <w:p>
            <w:pPr>
              <w:pStyle w:val="1316"/>
            </w:pPr>
            <w:r>
              <w:t xml:space="preserve">Заполняется автоматически на основании реквизита «Код ТОФК/ФО»</w:t>
            </w:r>
            <w:r/>
          </w:p>
          <w:p>
            <w:pPr>
              <w:pStyle w:val="1316"/>
            </w:pPr>
            <w:r>
              <w:t xml:space="preserve">Если реквизит «Система-инициатор» ≠ «НСИ ЭБ», заполняется автоматически</w:t>
            </w:r>
            <w:r/>
          </w:p>
        </w:tc>
      </w:tr>
      <w:tr>
        <w:tblPrEx/>
        <w:trPr/>
        <w:tc>
          <w:tcPr>
            <w:tcW w:w="959" w:type="pct"/>
            <w:textDirection w:val="lrTb"/>
            <w:noWrap w:val="false"/>
          </w:tcPr>
          <w:p>
            <w:pPr>
              <w:pStyle w:val="1316"/>
            </w:pPr>
            <w:r>
              <w:t xml:space="preserve">Код ТОФК/ФО по СВР</w:t>
            </w:r>
            <w:r/>
          </w:p>
          <w:p>
            <w:pPr>
              <w:pStyle w:val="1316"/>
            </w:pPr>
            <w:r>
              <w:t xml:space="preserve">(местонахождения)</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наименование ТОФК/ФО по месту нахождения лицевого счета.</w:t>
            </w:r>
            <w:r/>
          </w:p>
          <w:p>
            <w:pPr>
              <w:pStyle w:val="1316"/>
            </w:pPr>
            <w:r>
              <w:t xml:space="preserve">Заполняется автоматически на основании реквизита «Код ТОФК/ФО»</w:t>
            </w:r>
            <w:r/>
          </w:p>
          <w:p>
            <w:pPr>
              <w:pStyle w:val="1316"/>
            </w:pPr>
            <w:r>
              <w:t xml:space="preserve">Если реквизит «Система-инициатор» ≠ «НСИ ЭБ», заполняется автоматически</w:t>
            </w:r>
            <w:r/>
          </w:p>
        </w:tc>
      </w:tr>
      <w:tr>
        <w:tblPrEx/>
        <w:trPr/>
        <w:tc>
          <w:tcPr>
            <w:gridSpan w:val="4"/>
            <w:shd w:val="clear" w:color="auto" w:fill="f2f2f2" w:themeFill="background1" w:themeFillShade="F2"/>
            <w:tcW w:w="5000" w:type="pct"/>
            <w:textDirection w:val="lrTb"/>
            <w:noWrap w:val="false"/>
          </w:tcPr>
          <w:p>
            <w:pPr>
              <w:pStyle w:val="1316"/>
              <w:rPr>
                <w:rStyle w:val="1312"/>
              </w:rPr>
            </w:pPr>
            <w:r>
              <w:rPr>
                <w:rStyle w:val="1312"/>
              </w:rPr>
              <w:t xml:space="preserve">Раздел «Орган Федерального казначейства (в т.ч. центр специализации)/Финансовый орган по месту обслуживания лицевого счета»</w:t>
            </w:r>
            <w:r>
              <w:rPr>
                <w:rStyle w:val="1312"/>
              </w:rPr>
            </w:r>
          </w:p>
        </w:tc>
      </w:tr>
      <w:tr>
        <w:tblPrEx/>
        <w:trPr/>
        <w:tc>
          <w:tcPr>
            <w:tcW w:w="959" w:type="pct"/>
            <w:textDirection w:val="lrTb"/>
            <w:noWrap w:val="false"/>
          </w:tcPr>
          <w:p>
            <w:pPr>
              <w:pStyle w:val="1316"/>
            </w:pPr>
            <w:r>
              <w:t xml:space="preserve">Код ТОФК/ФО</w:t>
            </w:r>
            <w:r/>
          </w:p>
          <w:p>
            <w:pPr>
              <w:pStyle w:val="1316"/>
            </w:pPr>
            <w:r>
              <w:t xml:space="preserve">(обслуживания)</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Да</w:t>
            </w:r>
            <w:r/>
          </w:p>
        </w:tc>
        <w:tc>
          <w:tcPr>
            <w:tcW w:w="3011" w:type="pct"/>
            <w:textDirection w:val="lrTb"/>
            <w:noWrap w:val="false"/>
          </w:tcPr>
          <w:p>
            <w:pPr>
              <w:pStyle w:val="1316"/>
            </w:pPr>
            <w:r>
              <w:t xml:space="preserve">Указывается код ТОФК / ФО по месту обслуживания лицевого счета.</w:t>
            </w:r>
            <w:r/>
          </w:p>
          <w:p>
            <w:pPr>
              <w:pStyle w:val="1316"/>
            </w:pPr>
            <w:r>
              <w:t xml:space="preserve">Правила заполнения: </w:t>
            </w:r>
            <w:r/>
          </w:p>
          <w:p>
            <w:pPr>
              <w:pStyle w:val="1316"/>
            </w:pPr>
            <w:r>
              <w:t xml:space="preserve">Если значение реквизита «Тип Заявки» = «Открытие» / Резервирование, то </w:t>
            </w:r>
            <w:r/>
          </w:p>
          <w:p>
            <w:pPr>
              <w:pStyle w:val="1316"/>
            </w:pPr>
            <w:r>
              <w:t xml:space="preserve">1. Если реквизит «Обслуживается в ФО» = «Да» И реквизит «Код бюджета» ≠ «99010001», то заполняется автоматически значением реквизита «Код ТОФК/ФО по месту открытия ЛС» данной заявки. Реквизит не доступен для редактирования.</w:t>
            </w:r>
            <w:r/>
          </w:p>
          <w:p>
            <w:pPr>
              <w:pStyle w:val="1320"/>
            </w:pPr>
            <w:r>
              <w:t xml:space="preserve">Если реквизит «Обслуживается в ФО» = «Нет»:</w:t>
            </w:r>
            <w:r/>
          </w:p>
          <w:p>
            <w:pPr>
              <w:pStyle w:val="2310"/>
            </w:pPr>
            <w:r>
              <w:t xml:space="preserve">Если реквизит «Тип организации / клиента - создателя Заявки» = «Клиент», то заполняется автоматически соответствующим значением реквизита «Код ТОФК/ФО по месту открытия ЛС» данной Заявки КРЛС.</w:t>
            </w:r>
            <w:r/>
          </w:p>
          <w:p>
            <w:pPr>
              <w:pStyle w:val="2310"/>
            </w:pPr>
            <w:r>
              <w:t xml:space="preserve">Если реквизит «Тип организации / клиента - создателя Заявки» ≠ «Клиент», то заполняется пользователем вручную из справочника «ТОФК» (для выбора отображаются актуальные записи, с признаком «Является ФО» ≠ «Да»).</w:t>
            </w:r>
            <w:r/>
          </w:p>
          <w:p>
            <w:pPr>
              <w:pStyle w:val="2310"/>
            </w:pPr>
            <w:r>
              <w:t xml:space="preserve">Если данный реквизит НЕ заполнен на шаге 2.1 –</w:t>
            </w:r>
            <w:r>
              <w:t xml:space="preserve"> 2.2 И реквизит «Признак централизации» = «1 – централизован», то заполняется автоматически из справочника «Центры специализации», значением реквизита «Код ТОФК» раздела «ТОФК - Центр специализации» (в соответствии с кодом субъекта и типом лицевого счета).</w:t>
            </w:r>
            <w:r/>
          </w:p>
          <w:p>
            <w:pPr>
              <w:pStyle w:val="1316"/>
            </w:pPr>
            <w:r>
              <w:t xml:space="preserve">Если реквизит «Тип организации/ клиента - создателя Заявки» ≠ «Клиент», реквизит доступен для заполнения вручную пользователем из справочника «ТОФК» (для выбора отображаются актуальные записи, с признаком «Является ФО» ≠ «Да»).</w:t>
            </w:r>
            <w:r/>
          </w:p>
          <w:p>
            <w:pPr>
              <w:pStyle w:val="1316"/>
            </w:pPr>
            <w:r>
              <w:t xml:space="preserve">Если реквизит «Тип Заявки» = «Переоформление» / «Изменение» / «Закрытие», то заполняется автоматически соответствующим значением родительской записи справочника «Книга регистрации лицевых счетов»</w:t>
            </w:r>
            <w:r/>
          </w:p>
          <w:p>
            <w:pPr>
              <w:pStyle w:val="1316"/>
            </w:pPr>
            <w:r>
              <w:t xml:space="preserve">Если реквизит «Тип З</w:t>
            </w:r>
            <w:r>
              <w:t xml:space="preserve">аявки» = «Изменение» и реквизит «Выполнить перевод клиента на обслуживание в другой ТОФК/ФО» = «Да», то доступен для редактирования: заполняется вручную значением выбранной актуальной записи из справочника «ТОФК» (для выбора отображаются актуальные записи)</w:t>
            </w:r>
            <w:r/>
          </w:p>
          <w:p>
            <w:pPr>
              <w:pStyle w:val="1316"/>
            </w:pPr>
            <w:r>
              <w:t xml:space="preserve">Если реквизит «Система-инициатор» ≠ «НСИ ЭБ», заполняется автоматически</w:t>
            </w:r>
            <w:r/>
          </w:p>
        </w:tc>
      </w:tr>
      <w:tr>
        <w:tblPrEx/>
        <w:trPr/>
        <w:tc>
          <w:tcPr>
            <w:tcW w:w="959" w:type="pct"/>
            <w:textDirection w:val="lrTb"/>
            <w:noWrap w:val="false"/>
          </w:tcPr>
          <w:p>
            <w:pPr>
              <w:pStyle w:val="1316"/>
            </w:pPr>
            <w:r>
              <w:t xml:space="preserve">Наименование ТОФК/ФО</w:t>
            </w:r>
            <w:r/>
          </w:p>
          <w:p>
            <w:pPr>
              <w:pStyle w:val="1316"/>
            </w:pPr>
            <w:r>
              <w:t xml:space="preserve">(обслуживания)</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Да</w:t>
            </w:r>
            <w:r/>
          </w:p>
        </w:tc>
        <w:tc>
          <w:tcPr>
            <w:tcW w:w="3011" w:type="pct"/>
            <w:textDirection w:val="lrTb"/>
            <w:noWrap w:val="false"/>
          </w:tcPr>
          <w:p>
            <w:pPr>
              <w:pStyle w:val="1316"/>
            </w:pPr>
            <w:r>
              <w:t xml:space="preserve">Указывается наименование ТОФК/ФО по месту обслуживания лицевого счета.</w:t>
            </w:r>
            <w:r/>
          </w:p>
          <w:p>
            <w:pPr>
              <w:pStyle w:val="1316"/>
            </w:pPr>
            <w:r>
              <w:t xml:space="preserve">Заполняется автоматически на основании реквизита «Код ТОФК/ФО»</w:t>
            </w:r>
            <w:r/>
          </w:p>
          <w:p>
            <w:pPr>
              <w:pStyle w:val="1316"/>
            </w:pPr>
            <w:r>
              <w:t xml:space="preserve">Если реквизит «Система-инициатор» ≠ «НСИ ЭБ», заполняется автоматически</w:t>
            </w:r>
            <w:r/>
          </w:p>
        </w:tc>
      </w:tr>
      <w:tr>
        <w:tblPrEx/>
        <w:trPr/>
        <w:tc>
          <w:tcPr>
            <w:tcW w:w="959" w:type="pct"/>
            <w:textDirection w:val="lrTb"/>
            <w:noWrap w:val="false"/>
          </w:tcPr>
          <w:p>
            <w:pPr>
              <w:pStyle w:val="1316"/>
            </w:pPr>
            <w:r>
              <w:t xml:space="preserve">Код ТОФК/ФО по СВР</w:t>
            </w:r>
            <w:r/>
          </w:p>
          <w:p>
            <w:pPr>
              <w:pStyle w:val="1316"/>
            </w:pPr>
            <w:r>
              <w:t xml:space="preserve">(обслуживания)</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наименование ТОФК/ФО по месту обслуживания лицевого счета.</w:t>
            </w:r>
            <w:r/>
          </w:p>
          <w:p>
            <w:pPr>
              <w:pStyle w:val="1316"/>
            </w:pPr>
            <w:r>
              <w:t xml:space="preserve">Заполняется автоматически на основании реквизита «Код ТОФК/ФО»</w:t>
            </w:r>
            <w:r/>
          </w:p>
          <w:p>
            <w:pPr>
              <w:pStyle w:val="1316"/>
            </w:pPr>
            <w:r>
              <w:t xml:space="preserve">Если реквизит «Система-инициатор» ≠ «НСИ ЭБ», заполняется автоматически</w:t>
            </w:r>
            <w:r/>
          </w:p>
        </w:tc>
      </w:tr>
      <w:tr>
        <w:tblPrEx/>
        <w:trPr/>
        <w:tc>
          <w:tcPr>
            <w:gridSpan w:val="4"/>
            <w:shd w:val="clear" w:color="auto" w:fill="f2f2f2" w:themeFill="background1" w:themeFillShade="F2"/>
            <w:tcW w:w="5000" w:type="pct"/>
            <w:textDirection w:val="lrTb"/>
            <w:noWrap w:val="false"/>
          </w:tcPr>
          <w:p>
            <w:pPr>
              <w:pStyle w:val="1316"/>
              <w:rPr>
                <w:rStyle w:val="1312"/>
              </w:rPr>
            </w:pPr>
            <w:r>
              <w:rPr>
                <w:rStyle w:val="1312"/>
              </w:rPr>
              <w:t xml:space="preserve">Раздел «Сведения о Главе по БК»</w:t>
            </w:r>
            <w:r>
              <w:rPr>
                <w:rStyle w:val="1312"/>
              </w:rPr>
            </w:r>
          </w:p>
          <w:p>
            <w:pPr>
              <w:pStyle w:val="1316"/>
              <w:rPr>
                <w:rStyle w:val="1312"/>
              </w:rPr>
            </w:pPr>
            <w:r>
              <w:t xml:space="preserve">Не отображается в случае, если реквизит «Тип заявки» = «Резервирование» ИЛИ реквизит «Тип лицевого счета» = «71»</w:t>
            </w:r>
            <w:r>
              <w:rPr>
                <w:rStyle w:val="1312"/>
              </w:rPr>
            </w:r>
          </w:p>
        </w:tc>
      </w:tr>
      <w:tr>
        <w:tblPrEx/>
        <w:trPr/>
        <w:tc>
          <w:tcPr>
            <w:tcW w:w="959" w:type="pct"/>
            <w:textDirection w:val="lrTb"/>
            <w:noWrap w:val="false"/>
          </w:tcPr>
          <w:p>
            <w:pPr>
              <w:pStyle w:val="1316"/>
            </w:pPr>
            <w:r>
              <w:t xml:space="preserve">Код Главы по БК</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rPr>
                <w:szCs w:val="22"/>
              </w:rPr>
            </w:pPr>
            <w:r>
              <w:t xml:space="preserve">Указывает код </w:t>
            </w:r>
            <w:r>
              <w:rPr>
                <w:szCs w:val="22"/>
              </w:rPr>
              <w:t xml:space="preserve">Главы по БК</w:t>
            </w:r>
            <w:r>
              <w:t xml:space="preserve">.</w:t>
            </w:r>
            <w:r>
              <w:rPr>
                <w:szCs w:val="22"/>
              </w:rPr>
            </w:r>
          </w:p>
          <w:p>
            <w:pPr>
              <w:pStyle w:val="1316"/>
              <w:rPr>
                <w:szCs w:val="22"/>
              </w:rPr>
            </w:pPr>
            <w:r>
              <w:rPr>
                <w:szCs w:val="22"/>
              </w:rPr>
              <w:t xml:space="preserve">Заполняется автоматически: </w:t>
            </w:r>
            <w:r>
              <w:rPr>
                <w:szCs w:val="22"/>
              </w:rPr>
            </w:r>
          </w:p>
          <w:p>
            <w:pPr>
              <w:pStyle w:val="1316"/>
              <w:rPr>
                <w:szCs w:val="22"/>
              </w:rPr>
            </w:pPr>
            <w:r>
              <w:rPr>
                <w:szCs w:val="22"/>
              </w:rPr>
              <w:t xml:space="preserve">1. Если реквизит «Тип Заявки» = «Открытие», то значением реквизита «Код Главы по БК» актуальной записи справочника «Сводный реестр», выбранной при заполнении реквизита «Код клиента</w:t>
            </w:r>
            <w:r>
              <w:t xml:space="preserve"> по Сводному реестру / реестру ИП, КФХ</w:t>
            </w:r>
            <w:r>
              <w:rPr>
                <w:szCs w:val="22"/>
              </w:rPr>
              <w:t xml:space="preserve">». </w:t>
            </w:r>
            <w:r>
              <w:rPr>
                <w:szCs w:val="22"/>
              </w:rPr>
            </w:r>
          </w:p>
          <w:p>
            <w:pPr>
              <w:pStyle w:val="1316"/>
              <w:rPr>
                <w:szCs w:val="22"/>
              </w:rPr>
            </w:pPr>
            <w:r>
              <w:rPr>
                <w:szCs w:val="22"/>
              </w:rPr>
              <w:t xml:space="preserve">Реквизит доступен для редактирования, выбор справочника «Коды Глав/Ведомств».</w:t>
            </w:r>
            <w:r>
              <w:rPr>
                <w:szCs w:val="22"/>
              </w:rPr>
            </w:r>
          </w:p>
          <w:p>
            <w:pPr>
              <w:pStyle w:val="1316"/>
            </w:pPr>
            <w:r>
              <w:rPr>
                <w:szCs w:val="22"/>
              </w:rPr>
              <w:t xml:space="preserve">2. Если реквизит «Тип Заявки» = «Переоформление; Изменение; Закрытие», то значением реквизита «Код Главы по БК» записи справочника «Книга регистрации лицевых счетов», выбранной при заполнении реквизита «Номер лицевого счета».</w:t>
            </w:r>
            <w:r/>
          </w:p>
          <w:p>
            <w:pPr>
              <w:pStyle w:val="1316"/>
            </w:pPr>
            <w:r>
              <w:t xml:space="preserve">Реквизит обязателен для заполнения при открытии лицевого счета для всех типов л/с, кроме «71» или реквизит «</w:t>
            </w:r>
            <w:r>
              <w:rPr>
                <w:szCs w:val="22"/>
              </w:rPr>
              <w:t xml:space="preserve">Система-инициатор</w:t>
            </w:r>
            <w:r>
              <w:t xml:space="preserve">» ≠ «ЕБП».</w:t>
            </w:r>
            <w:r/>
          </w:p>
          <w:p>
            <w:pPr>
              <w:pStyle w:val="1316"/>
            </w:pPr>
            <w:r>
              <w:t xml:space="preserve">Не отображается и не заполняется, если реквизит «Тип лицевого счета» = «71», «80» или «90» ИЛИ реквизит «Тип Заявки» = «Резервирование»</w:t>
            </w:r>
            <w:r/>
          </w:p>
        </w:tc>
      </w:tr>
      <w:tr>
        <w:tblPrEx/>
        <w:trPr/>
        <w:tc>
          <w:tcPr>
            <w:tcW w:w="959" w:type="pct"/>
            <w:textDirection w:val="lrTb"/>
            <w:noWrap w:val="false"/>
          </w:tcPr>
          <w:p>
            <w:pPr>
              <w:pStyle w:val="1316"/>
            </w:pPr>
            <w:r>
              <w:t xml:space="preserve">Полное наименование Главы по БК</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 полное наименование главы.</w:t>
            </w:r>
            <w:r/>
          </w:p>
          <w:p>
            <w:pPr>
              <w:pStyle w:val="1316"/>
            </w:pPr>
            <w:r>
              <w:t xml:space="preserve">Заполняется автоматически:</w:t>
            </w:r>
            <w:r/>
          </w:p>
          <w:p>
            <w:pPr>
              <w:pStyle w:val="1316"/>
              <w:rPr>
                <w:szCs w:val="22"/>
              </w:rPr>
            </w:pPr>
            <w:r>
              <w:rPr>
                <w:szCs w:val="22"/>
              </w:rPr>
              <w:t xml:space="preserve">1. Если реквизит «Тип Заявки» ≠ «Закрытие», то автомати</w:t>
            </w:r>
            <w:r>
              <w:rPr>
                <w:szCs w:val="22"/>
              </w:rPr>
              <w:t xml:space="preserve">чески</w:t>
            </w:r>
            <w:r>
              <w:t xml:space="preserve"> </w:t>
            </w:r>
            <w:r>
              <w:rPr>
                <w:szCs w:val="22"/>
              </w:rPr>
              <w:t xml:space="preserve">значением реквизита «Наименование Главы» актуальной записи справочника «Коды Глав/Ведомств», в которой реквизит «Код Главы по БК» = «Код Глав» и «Код бюджета» = «Код бюджета».</w:t>
            </w:r>
            <w:r>
              <w:rPr>
                <w:szCs w:val="22"/>
              </w:rPr>
            </w:r>
          </w:p>
          <w:p>
            <w:pPr>
              <w:pStyle w:val="1316"/>
            </w:pPr>
            <w:r>
              <w:rPr>
                <w:szCs w:val="22"/>
              </w:rPr>
              <w:t xml:space="preserve">2. Если реквизит «Тип Заявки» = «Закрытие», то автоматически значением реквизита «Наименование Главы по БК» записи справочника «Книга регистрации лицевых счетов», выбранной при заполнении реквизита «Номер лицевого счета». </w:t>
            </w:r>
            <w:r/>
          </w:p>
          <w:p>
            <w:pPr>
              <w:pStyle w:val="1316"/>
            </w:pPr>
            <w:r>
              <w:t xml:space="preserve">Реквизит обязателен для заполнения при открытии лицевого счета для всех типов л/с, кроме «71» или реквизит «</w:t>
            </w:r>
            <w:r>
              <w:rPr>
                <w:szCs w:val="22"/>
              </w:rPr>
              <w:t xml:space="preserve">Система-инициатор</w:t>
            </w:r>
            <w:r>
              <w:t xml:space="preserve">» ≠ «ЕБП».</w:t>
            </w:r>
            <w:r/>
          </w:p>
          <w:p>
            <w:pPr>
              <w:pStyle w:val="1316"/>
            </w:pPr>
            <w:r>
              <w:t xml:space="preserve">Не отображается и не заполняется, если реквизит «Тип лицевого счета» = «71», «80» или «90» ИЛИ реквизит «Тип Заявки» = «Резервирование»</w:t>
            </w:r>
            <w:r/>
          </w:p>
        </w:tc>
      </w:tr>
      <w:tr>
        <w:tblPrEx/>
        <w:trPr/>
        <w:tc>
          <w:tcPr>
            <w:gridSpan w:val="4"/>
            <w:shd w:val="clear" w:color="auto" w:fill="f2f2f2" w:themeFill="background1" w:themeFillShade="F2"/>
            <w:tcW w:w="5000" w:type="pct"/>
            <w:textDirection w:val="lrTb"/>
            <w:noWrap w:val="false"/>
          </w:tcPr>
          <w:p>
            <w:pPr>
              <w:pStyle w:val="1316"/>
              <w:rPr>
                <w:rStyle w:val="1312"/>
              </w:rPr>
            </w:pPr>
            <w:r>
              <w:rPr>
                <w:rStyle w:val="1312"/>
              </w:rPr>
              <w:t xml:space="preserve">Раздел «Сведения об ОКТМО по месту нахождения»</w:t>
            </w:r>
            <w:r>
              <w:rPr>
                <w:rStyle w:val="1312"/>
              </w:rPr>
            </w:r>
          </w:p>
        </w:tc>
      </w:tr>
      <w:tr>
        <w:tblPrEx/>
        <w:trPr/>
        <w:tc>
          <w:tcPr>
            <w:tcW w:w="959" w:type="pct"/>
            <w:textDirection w:val="lrTb"/>
            <w:noWrap w:val="false"/>
          </w:tcPr>
          <w:p>
            <w:pPr>
              <w:pStyle w:val="1316"/>
            </w:pPr>
            <w:r>
              <w:t xml:space="preserve">Код ОКТМО по месту нахождения</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Да</w:t>
            </w:r>
            <w:r/>
          </w:p>
        </w:tc>
        <w:tc>
          <w:tcPr>
            <w:tcW w:w="3011" w:type="pct"/>
            <w:textDirection w:val="lrTb"/>
            <w:noWrap w:val="false"/>
          </w:tcPr>
          <w:p>
            <w:pPr>
              <w:pStyle w:val="1316"/>
              <w:rPr>
                <w:szCs w:val="22"/>
              </w:rPr>
            </w:pPr>
            <w:r>
              <w:rPr>
                <w:szCs w:val="22"/>
              </w:rPr>
              <w:t xml:space="preserve">Указывается код по ОКТМО по месту нахождения организации.</w:t>
            </w:r>
            <w:r>
              <w:rPr>
                <w:szCs w:val="22"/>
              </w:rPr>
            </w:r>
          </w:p>
          <w:p>
            <w:pPr>
              <w:pStyle w:val="1316"/>
              <w:rPr>
                <w:szCs w:val="22"/>
              </w:rPr>
            </w:pPr>
            <w:r>
              <w:rPr>
                <w:szCs w:val="22"/>
              </w:rPr>
              <w:t xml:space="preserve">Заполняется автоматически: </w:t>
            </w:r>
            <w:r>
              <w:rPr>
                <w:szCs w:val="22"/>
              </w:rPr>
            </w:r>
          </w:p>
          <w:p>
            <w:pPr>
              <w:pStyle w:val="1316"/>
              <w:rPr>
                <w:szCs w:val="22"/>
              </w:rPr>
            </w:pPr>
            <w:r>
              <w:rPr>
                <w:szCs w:val="22"/>
              </w:rPr>
              <w:t xml:space="preserve">1. Значением реквизита «Код территории ППО по ОКТМО» актуальной записи табличного реквизита «Сведения об исполнении бюджетных полномочий исполнительно-распорядительного органа городского, сельского поселения» записи справочника </w:t>
            </w:r>
            <w:r>
              <w:t xml:space="preserve">«Сводный реестр», выбранной при заполнении реквизита «Код клиента по Сводному реестру / реестру ИП, КФХ» И значение реквизита «Код бюджета» = </w:t>
            </w:r>
            <w:r>
              <w:rPr>
                <w:szCs w:val="22"/>
              </w:rPr>
              <w:t xml:space="preserve">значению реквизита «</w:t>
            </w:r>
            <w:r>
              <w:t xml:space="preserve">Код бюджета</w:t>
            </w:r>
            <w:r>
              <w:rPr>
                <w:szCs w:val="22"/>
              </w:rPr>
              <w:t xml:space="preserve">» записи табличного реквизита «Сведения об исполнении бюджетных полномочий исполнительно-распорядительного органа городского, сельского поселения».</w:t>
            </w:r>
            <w:r>
              <w:rPr>
                <w:szCs w:val="22"/>
              </w:rPr>
            </w:r>
          </w:p>
          <w:p>
            <w:pPr>
              <w:pStyle w:val="1316"/>
              <w:rPr>
                <w:szCs w:val="22"/>
              </w:rPr>
            </w:pPr>
            <w:r>
              <w:t xml:space="preserve">2. Если </w:t>
            </w:r>
            <w:r>
              <w:rPr>
                <w:szCs w:val="22"/>
              </w:rPr>
              <w:t xml:space="preserve">реквизит «Тип заявки» = «Резервирование; Открытие», то доступен для редактирования, выбор из справочника «Публично-правовые образования (таблица соответствия ОКАТО-ОКТМО)». Заполняется значением реквизита «Код записи» выбранной актуальной записи.</w:t>
            </w:r>
            <w:r>
              <w:rPr>
                <w:szCs w:val="22"/>
              </w:rPr>
            </w:r>
          </w:p>
          <w:p>
            <w:pPr>
              <w:pStyle w:val="1320"/>
              <w:rPr>
                <w:szCs w:val="22"/>
              </w:rPr>
            </w:pPr>
            <w:r>
              <w:rPr>
                <w:szCs w:val="22"/>
              </w:rPr>
              <w:t xml:space="preserve">Если реквизит «Тип Заявки» = «Переоформление», «Изменение» и </w:t>
            </w:r>
            <w:r>
              <w:t xml:space="preserve">реквизит «Тип лицевого счета» = </w:t>
            </w:r>
            <w:r>
              <w:rPr>
                <w:szCs w:val="22"/>
              </w:rPr>
              <w:t xml:space="preserve">«71», то соответствующим значением записи справочника </w:t>
            </w:r>
            <w:r>
              <w:t xml:space="preserve">«Сводный реестр» или «Реестр ИП и КФХ», выбранной при заполнении реквизита «Код клиента по Сводному реестру / реестру ИП, КФХ», в зависимости от типа Клиента.</w:t>
            </w:r>
            <w:r>
              <w:rPr>
                <w:szCs w:val="22"/>
              </w:rPr>
            </w:r>
          </w:p>
          <w:p>
            <w:pPr>
              <w:pStyle w:val="1320"/>
              <w:rPr>
                <w:szCs w:val="22"/>
              </w:rPr>
            </w:pPr>
            <w:r>
              <w:rPr>
                <w:szCs w:val="22"/>
              </w:rPr>
              <w:t xml:space="preserve">Если реквизит «Тип Заявки» = «Переоформление», «Изменение», «Закрытие» и </w:t>
            </w:r>
            <w:r>
              <w:t xml:space="preserve">реквизит «Тип лицевого счета» ≠ </w:t>
            </w:r>
            <w:r>
              <w:rPr>
                <w:szCs w:val="22"/>
              </w:rPr>
              <w:t xml:space="preserve">«71», то значением реквизита «Код по ОКТМО по месту нахождения организации» записи справочника «Книга регистрации лицевых счетов», выбранной при заполнении реквизита «Номер лицевого счета»</w:t>
            </w:r>
            <w:r>
              <w:rPr>
                <w:szCs w:val="22"/>
              </w:rPr>
            </w:r>
          </w:p>
          <w:p>
            <w:pPr>
              <w:pStyle w:val="1316"/>
            </w:pPr>
            <w:r>
              <w:t xml:space="preserve">Если реквизит «Система-инициатор» ≠ «НСИ ЭБ», запол</w:t>
            </w:r>
            <w:r>
              <w:t xml:space="preserve">няется автоматически</w:t>
            </w:r>
            <w:r/>
          </w:p>
        </w:tc>
      </w:tr>
      <w:tr>
        <w:tblPrEx/>
        <w:trPr/>
        <w:tc>
          <w:tcPr>
            <w:tcW w:w="959" w:type="pct"/>
            <w:textDirection w:val="lrTb"/>
            <w:noWrap w:val="false"/>
          </w:tcPr>
          <w:p>
            <w:pPr>
              <w:pStyle w:val="1316"/>
            </w:pPr>
            <w:r>
              <w:t xml:space="preserve">Наименование ОКТМО по месту нахождения</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rPr>
                <w:szCs w:val="22"/>
              </w:rPr>
            </w:pPr>
            <w:r>
              <w:rPr>
                <w:szCs w:val="22"/>
              </w:rPr>
              <w:t xml:space="preserve">Указывается наименование ОКТМО по месту нахождения организации.</w:t>
            </w:r>
            <w:r>
              <w:rPr>
                <w:szCs w:val="22"/>
              </w:rPr>
            </w:r>
          </w:p>
          <w:p>
            <w:pPr>
              <w:pStyle w:val="1316"/>
              <w:rPr>
                <w:szCs w:val="22"/>
              </w:rPr>
            </w:pPr>
            <w:r>
              <w:rPr>
                <w:szCs w:val="22"/>
              </w:rPr>
              <w:t xml:space="preserve">Заполняется автоматически на основании реквизита «</w:t>
            </w:r>
            <w:r>
              <w:t xml:space="preserve">Код ОКТМО по месту нахождения</w:t>
            </w:r>
            <w:r>
              <w:rPr>
                <w:szCs w:val="22"/>
              </w:rPr>
              <w:t xml:space="preserve">»</w:t>
            </w:r>
            <w:r>
              <w:rPr>
                <w:szCs w:val="22"/>
              </w:rPr>
            </w:r>
          </w:p>
        </w:tc>
      </w:tr>
      <w:tr>
        <w:tblPrEx/>
        <w:trPr/>
        <w:tc>
          <w:tcPr>
            <w:gridSpan w:val="4"/>
            <w:shd w:val="clear" w:color="auto" w:fill="f2f2f2" w:themeFill="background1" w:themeFillShade="F2"/>
            <w:tcW w:w="5000" w:type="pct"/>
            <w:textDirection w:val="lrTb"/>
            <w:noWrap w:val="false"/>
          </w:tcPr>
          <w:p>
            <w:pPr>
              <w:pStyle w:val="1316"/>
              <w:rPr>
                <w:rStyle w:val="1312"/>
              </w:rPr>
            </w:pPr>
            <w:r>
              <w:rPr>
                <w:rStyle w:val="1312"/>
              </w:rPr>
              <w:t xml:space="preserve">Раздел «Сведения об организации/клиенте – создателе Заявки»</w:t>
            </w:r>
            <w:r>
              <w:rPr>
                <w:rStyle w:val="1312"/>
              </w:rPr>
            </w:r>
          </w:p>
        </w:tc>
      </w:tr>
      <w:tr>
        <w:tblPrEx/>
        <w:trPr/>
        <w:tc>
          <w:tcPr>
            <w:tcW w:w="959" w:type="pct"/>
            <w:textDirection w:val="lrTb"/>
            <w:noWrap w:val="false"/>
          </w:tcPr>
          <w:p>
            <w:pPr>
              <w:pStyle w:val="1316"/>
            </w:pPr>
            <w:r>
              <w:t xml:space="preserve">Код по Сводному реестру/реестру ИП, КФХ</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код организации по Сводному реестру / Реестру ИП, КФХ пользователя, создавшего заявку.</w:t>
            </w:r>
            <w:r/>
          </w:p>
          <w:p>
            <w:pPr>
              <w:pStyle w:val="1316"/>
            </w:pPr>
            <w:r>
              <w:t xml:space="preserve">Заполняется автоматически</w:t>
            </w:r>
            <w:r/>
          </w:p>
        </w:tc>
      </w:tr>
      <w:tr>
        <w:tblPrEx/>
        <w:trPr/>
        <w:tc>
          <w:tcPr>
            <w:tcW w:w="959" w:type="pct"/>
            <w:textDirection w:val="lrTb"/>
            <w:noWrap w:val="false"/>
          </w:tcPr>
          <w:p>
            <w:pPr>
              <w:pStyle w:val="1316"/>
            </w:pPr>
            <w:r>
              <w:t xml:space="preserve">Наименование по Сводному реестру/реестру ИП, КФХ</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наименование организации по Сводному реестру / Реестру ИП, КФХ пользователя, создавшего заявку</w:t>
            </w:r>
            <w:r/>
          </w:p>
          <w:p>
            <w:pPr>
              <w:pStyle w:val="1316"/>
            </w:pPr>
            <w:r>
              <w:t xml:space="preserve">Заполняется автоматически</w:t>
            </w:r>
            <w:r/>
          </w:p>
        </w:tc>
      </w:tr>
      <w:tr>
        <w:tblPrEx/>
        <w:trPr/>
        <w:tc>
          <w:tcPr>
            <w:gridSpan w:val="4"/>
            <w:shd w:val="clear" w:color="auto" w:fill="f2f2f2" w:themeFill="background1" w:themeFillShade="F2"/>
            <w:tcW w:w="5000" w:type="pct"/>
            <w:textDirection w:val="lrTb"/>
            <w:noWrap w:val="false"/>
          </w:tcPr>
          <w:p>
            <w:pPr>
              <w:pStyle w:val="1316"/>
              <w:rPr>
                <w:rStyle w:val="1312"/>
              </w:rPr>
            </w:pPr>
            <w:r>
              <w:rPr>
                <w:rStyle w:val="1312"/>
              </w:rPr>
              <w:t xml:space="preserve">Вкладка «Полномочия»</w:t>
            </w:r>
            <w:r>
              <w:rPr>
                <w:rStyle w:val="1312"/>
              </w:rPr>
            </w:r>
          </w:p>
          <w:p>
            <w:pPr>
              <w:pStyle w:val="1316"/>
            </w:pPr>
            <w:r>
              <w:t xml:space="preserve">Отображается, если реквизит «Тип заявки» ≠ «Резервирование» ИЛИ реквизит «Тип лицевого счета» ≠ «71».</w:t>
            </w:r>
            <w:r/>
          </w:p>
          <w:p>
            <w:pPr>
              <w:pStyle w:val="1316"/>
              <w:rPr>
                <w:szCs w:val="22"/>
              </w:rPr>
            </w:pPr>
            <w:r>
              <w:rPr>
                <w:szCs w:val="22"/>
              </w:rPr>
              <w:t xml:space="preserve">Заполняется автоматически соответствующими значениями из справочника «Сводный реестр».</w:t>
            </w:r>
            <w:r>
              <w:rPr>
                <w:szCs w:val="22"/>
              </w:rPr>
            </w:r>
          </w:p>
          <w:p>
            <w:pPr>
              <w:pStyle w:val="1316"/>
              <w:rPr>
                <w:szCs w:val="22"/>
              </w:rPr>
            </w:pPr>
            <w:r>
              <w:rPr>
                <w:rStyle w:val="1312"/>
                <w:b w:val="0"/>
              </w:rPr>
              <w:t xml:space="preserve">Указывается информация о полномочиях клиента, по разделам</w:t>
            </w:r>
            <w:r>
              <w:rPr>
                <w:szCs w:val="22"/>
              </w:rPr>
              <w:t xml:space="preserve">: </w:t>
            </w:r>
            <w:r>
              <w:rPr>
                <w:szCs w:val="22"/>
              </w:rPr>
            </w:r>
          </w:p>
          <w:p>
            <w:pPr>
              <w:pStyle w:val="1318"/>
              <w:ind w:left="340" w:hanging="227"/>
              <w:tabs>
                <w:tab w:val="num" w:pos="340" w:leader="none"/>
              </w:tabs>
              <w:rPr>
                <w:rStyle w:val="1312"/>
                <w:b w:val="0"/>
              </w:rPr>
            </w:pPr>
            <w:r>
              <w:rPr>
                <w:rStyle w:val="1312"/>
                <w:b w:val="0"/>
              </w:rPr>
              <w:t xml:space="preserve">Раздел «Бюджетные полномочия организации»</w:t>
            </w:r>
            <w:r>
              <w:rPr>
                <w:rStyle w:val="1312"/>
                <w:b w:val="0"/>
              </w:rPr>
            </w:r>
          </w:p>
          <w:p>
            <w:pPr>
              <w:pStyle w:val="1318"/>
              <w:ind w:left="340" w:hanging="227"/>
              <w:tabs>
                <w:tab w:val="num" w:pos="340" w:leader="none"/>
              </w:tabs>
              <w:rPr>
                <w:rStyle w:val="1312"/>
                <w:b w:val="0"/>
              </w:rPr>
            </w:pPr>
            <w:r>
              <w:rPr>
                <w:rStyle w:val="1312"/>
                <w:b w:val="0"/>
              </w:rPr>
              <w:t xml:space="preserve">Раздел «Принятые полномочия»</w:t>
            </w:r>
            <w:r>
              <w:rPr>
                <w:rStyle w:val="1312"/>
                <w:b w:val="0"/>
              </w:rPr>
            </w:r>
          </w:p>
          <w:p>
            <w:pPr>
              <w:pStyle w:val="1318"/>
              <w:ind w:left="340" w:hanging="227"/>
              <w:tabs>
                <w:tab w:val="num" w:pos="340" w:leader="none"/>
              </w:tabs>
              <w:rPr>
                <w:rStyle w:val="1312"/>
                <w:b w:val="0"/>
              </w:rPr>
            </w:pPr>
            <w:r>
              <w:rPr>
                <w:rStyle w:val="1312"/>
                <w:b w:val="0"/>
              </w:rPr>
              <w:t xml:space="preserve">Раздел «Переданные полномочия»</w:t>
            </w:r>
            <w:r>
              <w:rPr>
                <w:rStyle w:val="1312"/>
                <w:b w:val="0"/>
              </w:rPr>
            </w:r>
          </w:p>
          <w:p>
            <w:pPr>
              <w:pStyle w:val="1318"/>
              <w:ind w:left="340" w:hanging="227"/>
              <w:tabs>
                <w:tab w:val="num" w:pos="340" w:leader="none"/>
              </w:tabs>
              <w:rPr>
                <w:rStyle w:val="1312"/>
                <w:b w:val="0"/>
              </w:rPr>
            </w:pPr>
            <w:r>
              <w:rPr>
                <w:rStyle w:val="1312"/>
                <w:b w:val="0"/>
              </w:rPr>
              <w:t xml:space="preserve">Раздел «Полномочия организации - неучастника бюджетного процесса»</w:t>
            </w:r>
            <w:r>
              <w:rPr>
                <w:rStyle w:val="1312"/>
                <w:b w:val="0"/>
              </w:rPr>
            </w:r>
          </w:p>
          <w:p>
            <w:pPr>
              <w:pStyle w:val="1318"/>
              <w:ind w:left="340" w:hanging="227"/>
              <w:tabs>
                <w:tab w:val="num" w:pos="340" w:leader="none"/>
              </w:tabs>
              <w:rPr>
                <w:rStyle w:val="1312"/>
                <w:b w:val="0"/>
              </w:rPr>
            </w:pPr>
            <w:r>
              <w:rPr>
                <w:rStyle w:val="1312"/>
                <w:b w:val="0"/>
              </w:rPr>
              <w:t xml:space="preserve">Раздел «Сведения о передаче полномочий финансового органа поселения финансовому органу муниципального района»</w:t>
            </w:r>
            <w:r>
              <w:rPr>
                <w:rStyle w:val="1312"/>
                <w:b w:val="0"/>
              </w:rPr>
            </w:r>
          </w:p>
          <w:p>
            <w:pPr>
              <w:pStyle w:val="1318"/>
              <w:ind w:left="340" w:hanging="227"/>
              <w:tabs>
                <w:tab w:val="num" w:pos="340" w:leader="none"/>
              </w:tabs>
              <w:rPr>
                <w:rStyle w:val="1312"/>
              </w:rPr>
            </w:pPr>
            <w:r>
              <w:rPr>
                <w:rStyle w:val="1312"/>
                <w:b w:val="0"/>
              </w:rPr>
              <w:t xml:space="preserve">Раздел «Полномочия в государственных (муниципальных) закупках»</w:t>
            </w:r>
            <w:r>
              <w:rPr>
                <w:rStyle w:val="1312"/>
              </w:rPr>
            </w:r>
          </w:p>
        </w:tc>
      </w:tr>
      <w:tr>
        <w:tblPrEx/>
        <w:trPr/>
        <w:tc>
          <w:tcPr>
            <w:gridSpan w:val="4"/>
            <w:shd w:val="clear" w:color="auto" w:fill="f2f2f2" w:themeFill="background1" w:themeFillShade="F2"/>
            <w:tcW w:w="5000" w:type="pct"/>
            <w:textDirection w:val="lrTb"/>
            <w:noWrap w:val="false"/>
          </w:tcPr>
          <w:p>
            <w:pPr>
              <w:pStyle w:val="1316"/>
              <w:rPr>
                <w:rStyle w:val="1312"/>
              </w:rPr>
            </w:pPr>
            <w:r>
              <w:rPr>
                <w:rStyle w:val="1312"/>
              </w:rPr>
              <w:t xml:space="preserve">Вкладка «Лист согласования»</w:t>
            </w:r>
            <w:r>
              <w:rPr>
                <w:rStyle w:val="1312"/>
              </w:rPr>
            </w:r>
          </w:p>
          <w:p>
            <w:pPr>
              <w:pStyle w:val="1316"/>
            </w:pPr>
            <w:r>
              <w:t xml:space="preserve">Отображается, если реквизит «Тип заявки» ≠ «Резервирование» И реквизит «Тип организации/клиента - создателя Заявки» = «Клиент».</w:t>
            </w:r>
            <w:r/>
          </w:p>
          <w:p>
            <w:pPr>
              <w:pStyle w:val="1316"/>
              <w:rPr>
                <w:rStyle w:val="1312"/>
                <w:b w:val="0"/>
              </w:rPr>
            </w:pPr>
            <w:r>
              <w:rPr>
                <w:rStyle w:val="1312"/>
                <w:b w:val="0"/>
              </w:rPr>
              <w:t xml:space="preserve">Указывается информация о подписантах со стороны Клиента.</w:t>
            </w:r>
            <w:r>
              <w:rPr>
                <w:rStyle w:val="1312"/>
                <w:b w:val="0"/>
              </w:rPr>
            </w:r>
          </w:p>
          <w:p>
            <w:pPr>
              <w:pStyle w:val="1316"/>
              <w:rPr>
                <w:rStyle w:val="1312"/>
                <w:b w:val="0"/>
              </w:rPr>
            </w:pPr>
            <w:r>
              <w:rPr>
                <w:rStyle w:val="1312"/>
                <w:b w:val="0"/>
              </w:rPr>
              <w:t xml:space="preserve">Заполнятся заполняется пользователем вручную выбором из справочника «Шаблон согласования решения»</w:t>
            </w:r>
            <w:r>
              <w:rPr>
                <w:rStyle w:val="1312"/>
                <w:b w:val="0"/>
              </w:rPr>
            </w:r>
          </w:p>
        </w:tc>
      </w:tr>
      <w:tr>
        <w:tblPrEx/>
        <w:trPr/>
        <w:tc>
          <w:tcPr>
            <w:gridSpan w:val="4"/>
            <w:shd w:val="clear" w:color="auto" w:fill="f2f2f2" w:themeFill="background1" w:themeFillShade="F2"/>
            <w:tcW w:w="5000" w:type="pct"/>
            <w:textDirection w:val="lrTb"/>
            <w:noWrap w:val="false"/>
          </w:tcPr>
          <w:p>
            <w:pPr>
              <w:pStyle w:val="1316"/>
              <w:rPr>
                <w:rStyle w:val="1312"/>
              </w:rPr>
            </w:pPr>
            <w:r>
              <w:rPr>
                <w:rStyle w:val="1312"/>
              </w:rPr>
              <w:t xml:space="preserve">Вкладка «Лист согласования ТОФК/ФО»</w:t>
            </w:r>
            <w:r>
              <w:rPr>
                <w:rStyle w:val="1312"/>
              </w:rPr>
            </w:r>
          </w:p>
          <w:p>
            <w:pPr>
              <w:pStyle w:val="1316"/>
            </w:pPr>
            <w:r>
              <w:t xml:space="preserve">Отображается, если реквизит «Тип заявки» ≠ «Резервирование» И реквизит «Тип организации/клиента - создателя Заявки» = «ТОФК»</w:t>
            </w:r>
            <w:r/>
          </w:p>
          <w:p>
            <w:pPr>
              <w:pStyle w:val="1316"/>
              <w:rPr>
                <w:rStyle w:val="1312"/>
                <w:b w:val="0"/>
              </w:rPr>
            </w:pPr>
            <w:r>
              <w:rPr>
                <w:rStyle w:val="1312"/>
                <w:b w:val="0"/>
              </w:rPr>
              <w:t xml:space="preserve">Указывается информация о подписантах со стороны ТОФК / ФО.</w:t>
            </w:r>
            <w:r>
              <w:rPr>
                <w:rStyle w:val="1312"/>
                <w:b w:val="0"/>
              </w:rPr>
            </w:r>
          </w:p>
          <w:p>
            <w:pPr>
              <w:pStyle w:val="1316"/>
              <w:rPr>
                <w:rStyle w:val="1312"/>
              </w:rPr>
            </w:pPr>
            <w:r>
              <w:rPr>
                <w:rStyle w:val="1312"/>
                <w:b w:val="0"/>
              </w:rPr>
              <w:t xml:space="preserve">Заполнятся заполняется пользователем вручную выбором из справочника «Шаблон согласования решения»</w:t>
            </w:r>
            <w:r>
              <w:rPr>
                <w:rStyle w:val="1312"/>
              </w:rPr>
            </w:r>
          </w:p>
        </w:tc>
      </w:tr>
      <w:tr>
        <w:tblPrEx/>
        <w:trPr/>
        <w:tc>
          <w:tcPr>
            <w:gridSpan w:val="4"/>
            <w:shd w:val="clear" w:color="auto" w:fill="f2f2f2" w:themeFill="background1" w:themeFillShade="F2"/>
            <w:tcW w:w="5000" w:type="pct"/>
            <w:textDirection w:val="lrTb"/>
            <w:noWrap w:val="false"/>
          </w:tcPr>
          <w:p>
            <w:pPr>
              <w:pStyle w:val="1316"/>
              <w:rPr>
                <w:rStyle w:val="1312"/>
              </w:rPr>
            </w:pPr>
            <w:r>
              <w:rPr>
                <w:rStyle w:val="1312"/>
              </w:rPr>
              <w:t xml:space="preserve">Вкладка «Лист согласования ЦС/ФО»</w:t>
            </w:r>
            <w:r>
              <w:rPr>
                <w:rStyle w:val="1312"/>
              </w:rPr>
            </w:r>
          </w:p>
          <w:p>
            <w:pPr>
              <w:pStyle w:val="1316"/>
            </w:pPr>
            <w:r>
              <w:t xml:space="preserve">Отображается, если реквизит «Тип заявки» = «Открытие» И реквизит «Тип организации/клиента - создателя Заявки» = «ТОФК ЦС»</w:t>
            </w:r>
            <w:r/>
          </w:p>
          <w:p>
            <w:pPr>
              <w:pStyle w:val="1316"/>
              <w:rPr>
                <w:rStyle w:val="1312"/>
                <w:b w:val="0"/>
              </w:rPr>
            </w:pPr>
            <w:r>
              <w:rPr>
                <w:rStyle w:val="1312"/>
                <w:b w:val="0"/>
              </w:rPr>
              <w:t xml:space="preserve">Указывается информация о подписантах со стороны ТОФК ЦС.</w:t>
            </w:r>
            <w:r>
              <w:rPr>
                <w:rStyle w:val="1312"/>
                <w:b w:val="0"/>
              </w:rPr>
            </w:r>
          </w:p>
          <w:p>
            <w:pPr>
              <w:pStyle w:val="1316"/>
              <w:rPr>
                <w:rStyle w:val="1312"/>
              </w:rPr>
            </w:pPr>
            <w:r>
              <w:rPr>
                <w:rStyle w:val="1312"/>
                <w:b w:val="0"/>
              </w:rPr>
              <w:t xml:space="preserve">Заполнятся заполняется пользователем вручную выбором из справочника «Шаблон согласования решения»</w:t>
            </w:r>
            <w:r>
              <w:rPr>
                <w:rStyle w:val="1312"/>
              </w:rPr>
            </w:r>
          </w:p>
        </w:tc>
      </w:tr>
      <w:tr>
        <w:tblPrEx/>
        <w:trPr/>
        <w:tc>
          <w:tcPr>
            <w:gridSpan w:val="4"/>
            <w:shd w:val="clear" w:color="auto" w:fill="f2f2f2" w:themeFill="background1" w:themeFillShade="F2"/>
            <w:tcW w:w="5000" w:type="pct"/>
            <w:textDirection w:val="lrTb"/>
            <w:noWrap w:val="false"/>
          </w:tcPr>
          <w:p>
            <w:pPr>
              <w:pStyle w:val="1316"/>
              <w:rPr>
                <w:rStyle w:val="1312"/>
              </w:rPr>
            </w:pPr>
            <w:r>
              <w:rPr>
                <w:rStyle w:val="1312"/>
              </w:rPr>
              <w:t xml:space="preserve">Вкладка «Вложения»</w:t>
            </w:r>
            <w:r>
              <w:rPr>
                <w:rStyle w:val="1312"/>
              </w:rPr>
            </w:r>
          </w:p>
          <w:p>
            <w:pPr>
              <w:pStyle w:val="1316"/>
              <w:rPr>
                <w:rStyle w:val="1312"/>
                <w:b w:val="0"/>
              </w:rPr>
            </w:pPr>
            <w:r>
              <w:t xml:space="preserve">Отображается, если реквизит «Тип заявки» ≠ «Резервирование»</w:t>
            </w:r>
            <w:r>
              <w:rPr>
                <w:rStyle w:val="1312"/>
                <w:b w:val="0"/>
              </w:rPr>
            </w:r>
          </w:p>
        </w:tc>
      </w:tr>
      <w:tr>
        <w:tblPrEx/>
        <w:trPr/>
        <w:tc>
          <w:tcPr>
            <w:gridSpan w:val="4"/>
            <w:shd w:val="clear" w:color="auto" w:fill="f2f2f2" w:themeFill="background1" w:themeFillShade="F2"/>
            <w:tcW w:w="5000" w:type="pct"/>
            <w:textDirection w:val="lrTb"/>
            <w:noWrap w:val="false"/>
          </w:tcPr>
          <w:p>
            <w:pPr>
              <w:pStyle w:val="1316"/>
              <w:rPr>
                <w:rStyle w:val="1312"/>
              </w:rPr>
            </w:pPr>
            <w:r>
              <w:rPr>
                <w:rStyle w:val="1312"/>
              </w:rPr>
              <w:t xml:space="preserve">Раздел «Письма ОрФК»</w:t>
            </w:r>
            <w:r>
              <w:rPr>
                <w:rStyle w:val="1312"/>
              </w:rPr>
            </w:r>
          </w:p>
        </w:tc>
      </w:tr>
      <w:tr>
        <w:tblPrEx/>
        <w:trPr/>
        <w:tc>
          <w:tcPr>
            <w:tcW w:w="959" w:type="pct"/>
            <w:textDirection w:val="lrTb"/>
            <w:noWrap w:val="false"/>
          </w:tcPr>
          <w:p>
            <w:pPr>
              <w:pStyle w:val="1316"/>
            </w:pPr>
            <w:r>
              <w:t xml:space="preserve">Дата письма органа ФК об открытии /переоформлении/ закрытии ЛС</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дата письма органа ФК. </w:t>
            </w:r>
            <w:r/>
          </w:p>
          <w:p>
            <w:pPr>
              <w:pStyle w:val="1316"/>
            </w:pPr>
            <w:r>
              <w:t xml:space="preserve">Заполняется вручную пользователем</w:t>
            </w:r>
            <w:r/>
          </w:p>
          <w:p>
            <w:pPr>
              <w:pStyle w:val="1316"/>
            </w:pPr>
            <w:r>
              <w:t xml:space="preserve">Если реквизит «Система-инициатор» ≠ «НСИ ЭБ», не заполняется</w:t>
            </w:r>
            <w:r/>
          </w:p>
        </w:tc>
      </w:tr>
      <w:tr>
        <w:tblPrEx/>
        <w:trPr/>
        <w:tc>
          <w:tcPr>
            <w:tcW w:w="959" w:type="pct"/>
            <w:textDirection w:val="lrTb"/>
            <w:noWrap w:val="false"/>
          </w:tcPr>
          <w:p>
            <w:pPr>
              <w:pStyle w:val="1316"/>
            </w:pPr>
            <w:r>
              <w:t xml:space="preserve">Номер письма органа ФК об открытии /переоформлении/ закрытии ЛС</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номер письма органа ФК. </w:t>
            </w:r>
            <w:r/>
          </w:p>
          <w:p>
            <w:pPr>
              <w:pStyle w:val="1316"/>
            </w:pPr>
            <w:r>
              <w:t xml:space="preserve">Заполняется вручную пользователем</w:t>
            </w:r>
            <w:r/>
          </w:p>
          <w:p>
            <w:pPr>
              <w:pStyle w:val="1316"/>
            </w:pPr>
            <w:r>
              <w:t xml:space="preserve">Если реквизит «Система-инициатор» ≠ «НСИ ЭБ», не заполняется</w:t>
            </w:r>
            <w:r/>
          </w:p>
        </w:tc>
      </w:tr>
      <w:tr>
        <w:tblPrEx/>
        <w:trPr/>
        <w:tc>
          <w:tcPr>
            <w:tcW w:w="959" w:type="pct"/>
            <w:textDirection w:val="lrTb"/>
            <w:noWrap w:val="false"/>
          </w:tcPr>
          <w:p>
            <w:pPr>
              <w:pStyle w:val="1316"/>
            </w:pPr>
            <w:r>
              <w:t xml:space="preserve">Дата письма органа ФК об открытии/ переоформлении /закрытии ЛС для учета операций по переданным полномочиям</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дата письма органа ФК для учета операций переданным полномочиям.</w:t>
            </w:r>
            <w:r/>
          </w:p>
          <w:p>
            <w:pPr>
              <w:pStyle w:val="1316"/>
            </w:pPr>
            <w:r>
              <w:t xml:space="preserve">Заполняется вручную пользователем </w:t>
            </w:r>
            <w:r/>
          </w:p>
          <w:p>
            <w:pPr>
              <w:pStyle w:val="1316"/>
            </w:pPr>
            <w:r>
              <w:t xml:space="preserve">Если реквизит «Система-инициатор» ≠ «НСИ ЭБ», не заполняется</w:t>
            </w:r>
            <w:r/>
          </w:p>
        </w:tc>
      </w:tr>
      <w:tr>
        <w:tblPrEx/>
        <w:trPr/>
        <w:tc>
          <w:tcPr>
            <w:tcW w:w="959" w:type="pct"/>
            <w:textDirection w:val="lrTb"/>
            <w:noWrap w:val="false"/>
          </w:tcPr>
          <w:p>
            <w:pPr>
              <w:pStyle w:val="1316"/>
            </w:pPr>
            <w:r>
              <w:t xml:space="preserve">Номер письма органа ФК об открытии/переоформлении/закрытии ЛС для учета операций переданным полномочиям</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номер письма органа ФК для учета операций переданным полномочиям.</w:t>
            </w:r>
            <w:r/>
          </w:p>
          <w:p>
            <w:pPr>
              <w:pStyle w:val="1316"/>
            </w:pPr>
            <w:r>
              <w:t xml:space="preserve">Заполняется вручную пользователем</w:t>
            </w:r>
            <w:r/>
          </w:p>
          <w:p>
            <w:pPr>
              <w:pStyle w:val="1316"/>
            </w:pPr>
            <w:r>
              <w:t xml:space="preserve">Если реквизит «Система-инициатор» ≠ «НСИ ЭБ», не заполняется</w:t>
            </w:r>
            <w:r/>
          </w:p>
        </w:tc>
      </w:tr>
      <w:tr>
        <w:tblPrEx/>
        <w:trPr/>
        <w:tc>
          <w:tcPr>
            <w:gridSpan w:val="4"/>
            <w:shd w:val="clear" w:color="auto" w:fill="f2f2f2" w:themeFill="background1" w:themeFillShade="F2"/>
            <w:tcW w:w="5000" w:type="pct"/>
            <w:textDirection w:val="lrTb"/>
            <w:noWrap w:val="false"/>
          </w:tcPr>
          <w:p>
            <w:pPr>
              <w:pStyle w:val="1316"/>
              <w:rPr>
                <w:rStyle w:val="1312"/>
              </w:rPr>
            </w:pPr>
            <w:r>
              <w:rPr>
                <w:rStyle w:val="1312"/>
              </w:rPr>
              <w:t xml:space="preserve">Раздел «Скан-копии документа»</w:t>
            </w:r>
            <w:r>
              <w:rPr>
                <w:rStyle w:val="1312"/>
              </w:rPr>
            </w:r>
          </w:p>
          <w:p>
            <w:pPr>
              <w:pStyle w:val="1316"/>
              <w:rPr>
                <w:rStyle w:val="1312"/>
              </w:rPr>
            </w:pPr>
            <w:r>
              <w:t xml:space="preserve">Обязательно для заполнения если реквизит «Тип лицевого счета» = 71 и реквизит «Тип заявки» = </w:t>
            </w:r>
            <w:r>
              <w:rPr>
                <w:szCs w:val="22"/>
              </w:rPr>
              <w:t xml:space="preserve">«Открытие» </w:t>
            </w:r>
            <w:r>
              <w:t xml:space="preserve">и не заполнен реквизит «Ссылка на документ-основание» на вкладке «Основная информация» раздел «Основание для открытия лицевого счета»</w:t>
            </w:r>
            <w:r>
              <w:rPr>
                <w:rStyle w:val="1312"/>
              </w:rPr>
            </w:r>
          </w:p>
        </w:tc>
      </w:tr>
      <w:tr>
        <w:tblPrEx/>
        <w:trPr/>
        <w:tc>
          <w:tcPr>
            <w:tcW w:w="959" w:type="pct"/>
            <w:textDirection w:val="lrTb"/>
            <w:noWrap w:val="false"/>
          </w:tcPr>
          <w:p>
            <w:pPr>
              <w:pStyle w:val="1316"/>
            </w:pPr>
            <w:r>
              <w:t xml:space="preserve">Тип документа</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тип документа.</w:t>
            </w:r>
            <w:r/>
          </w:p>
          <w:p>
            <w:pPr>
              <w:pStyle w:val="1316"/>
            </w:pPr>
            <w:r>
              <w:t xml:space="preserve">Заполняется вручную пользователем.</w:t>
            </w:r>
            <w:r/>
          </w:p>
          <w:p>
            <w:pPr>
              <w:pStyle w:val="1316"/>
            </w:pPr>
            <w:r>
              <w:t xml:space="preserve">Если реквизит «Система-инициатор» = «ПУР КС» заполняется автоматически (при наличии)</w:t>
            </w:r>
            <w:r/>
          </w:p>
        </w:tc>
      </w:tr>
      <w:tr>
        <w:tblPrEx/>
        <w:trPr/>
        <w:tc>
          <w:tcPr>
            <w:tcW w:w="959" w:type="pct"/>
            <w:textDirection w:val="lrTb"/>
            <w:noWrap w:val="false"/>
          </w:tcPr>
          <w:p>
            <w:pPr>
              <w:pStyle w:val="1316"/>
            </w:pPr>
            <w:r>
              <w:t xml:space="preserve">Номер</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номер документа.</w:t>
            </w:r>
            <w:r/>
          </w:p>
          <w:p>
            <w:pPr>
              <w:pStyle w:val="1316"/>
            </w:pPr>
            <w:r>
              <w:t xml:space="preserve">Заполняется вручную пользователем.</w:t>
            </w:r>
            <w:r/>
          </w:p>
          <w:p>
            <w:pPr>
              <w:pStyle w:val="1316"/>
            </w:pPr>
            <w:r>
              <w:t xml:space="preserve">Если реквизит «Система-инициатор» = «ПУР КС» заполняется автоматически (при наличии)</w:t>
            </w:r>
            <w:r/>
          </w:p>
        </w:tc>
      </w:tr>
      <w:tr>
        <w:tblPrEx/>
        <w:trPr/>
        <w:tc>
          <w:tcPr>
            <w:tcW w:w="959" w:type="pct"/>
            <w:textDirection w:val="lrTb"/>
            <w:noWrap w:val="false"/>
          </w:tcPr>
          <w:p>
            <w:pPr>
              <w:pStyle w:val="1316"/>
            </w:pPr>
            <w:r>
              <w:t xml:space="preserve">Дата</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дата документа.</w:t>
            </w:r>
            <w:r/>
          </w:p>
          <w:p>
            <w:pPr>
              <w:pStyle w:val="1316"/>
            </w:pPr>
            <w:r>
              <w:t xml:space="preserve">Заполняется вручную пользователем.</w:t>
            </w:r>
            <w:r/>
          </w:p>
          <w:p>
            <w:pPr>
              <w:pStyle w:val="1316"/>
            </w:pPr>
            <w:r>
              <w:t xml:space="preserve">Если реквизит «Система-инициатор» = «ПУР КС» заполняется автоматически (при наличии)</w:t>
            </w:r>
            <w:r/>
          </w:p>
        </w:tc>
      </w:tr>
      <w:tr>
        <w:tblPrEx/>
        <w:trPr/>
        <w:tc>
          <w:tcPr>
            <w:tcW w:w="959" w:type="pct"/>
            <w:textDirection w:val="lrTb"/>
            <w:noWrap w:val="false"/>
          </w:tcPr>
          <w:p>
            <w:pPr>
              <w:pStyle w:val="1316"/>
            </w:pPr>
            <w:r>
              <w:t xml:space="preserve">Файл</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скан-копия документа.</w:t>
            </w:r>
            <w:r/>
          </w:p>
          <w:p>
            <w:pPr>
              <w:pStyle w:val="1316"/>
            </w:pPr>
            <w:r>
              <w:t xml:space="preserve">Загрузка файла осуществляется вручную пользователем.</w:t>
            </w:r>
            <w:r/>
          </w:p>
          <w:p>
            <w:pPr>
              <w:pStyle w:val="1316"/>
            </w:pPr>
            <w:r>
              <w:t xml:space="preserve">Ограничение на вложения 50 Мб (с учетом наложения подписи на загружаемый файл ограничение на само вложение устанавливается значением = 47.7 Мб)</w:t>
            </w:r>
            <w:r/>
          </w:p>
          <w:p>
            <w:pPr>
              <w:pStyle w:val="1316"/>
            </w:pPr>
            <w:r>
              <w:t xml:space="preserve">Если реквизит «Система-инициатор» = «ПУР КС» заполняется автоматически (при наличии)</w:t>
            </w:r>
            <w:r/>
          </w:p>
          <w:p>
            <w:pPr>
              <w:pStyle w:val="1316"/>
            </w:pPr>
            <w:r>
              <w:t xml:space="preserve">Если реквизит «Тип лицевого счета» = «71» и реквизит «Тип заявки» = </w:t>
            </w:r>
            <w:r>
              <w:rPr>
                <w:szCs w:val="22"/>
              </w:rPr>
              <w:t xml:space="preserve">«Открытие»</w:t>
            </w:r>
            <w:r>
              <w:t xml:space="preserve">, реквизит обязателен для заполнения, если не заполнен реквизит «Ссылка на документ-основание» на вкладке «Основная информация» раздел «Основание для открытия лицевого счета»</w:t>
            </w:r>
            <w:r/>
          </w:p>
          <w:p>
            <w:pPr>
              <w:pStyle w:val="1316"/>
            </w:pPr>
            <w:r>
              <w:t xml:space="preserve">Если реквизит «Система-инициатор» = «ПУР КС» заполняется автоматически (при наличии)</w:t>
            </w:r>
            <w:r/>
          </w:p>
        </w:tc>
      </w:tr>
      <w:tr>
        <w:tblPrEx/>
        <w:trPr/>
        <w:tc>
          <w:tcPr>
            <w:tcW w:w="959" w:type="pct"/>
            <w:textDirection w:val="lrTb"/>
            <w:noWrap w:val="false"/>
          </w:tcPr>
          <w:p>
            <w:pPr>
              <w:pStyle w:val="1316"/>
            </w:pPr>
            <w:r>
              <w:t xml:space="preserve">Имя файла</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имя прикрепленного документа.</w:t>
            </w:r>
            <w:r/>
          </w:p>
          <w:p>
            <w:pPr>
              <w:pStyle w:val="1316"/>
            </w:pPr>
            <w:r>
              <w:t xml:space="preserve">Заполняется автоматически на основании реквизита «Файл»</w:t>
            </w:r>
            <w:r/>
          </w:p>
        </w:tc>
      </w:tr>
      <w:tr>
        <w:tblPrEx/>
        <w:trPr/>
        <w:tc>
          <w:tcPr>
            <w:gridSpan w:val="4"/>
            <w:shd w:val="clear" w:color="auto" w:fill="f2f2f2" w:themeFill="background1" w:themeFillShade="F2"/>
            <w:tcW w:w="5000" w:type="pct"/>
            <w:textDirection w:val="lrTb"/>
            <w:noWrap w:val="false"/>
          </w:tcPr>
          <w:p>
            <w:pPr>
              <w:pStyle w:val="1316"/>
              <w:rPr>
                <w:rStyle w:val="1312"/>
              </w:rPr>
            </w:pPr>
            <w:r>
              <w:rPr>
                <w:rStyle w:val="1312"/>
              </w:rPr>
              <w:t xml:space="preserve">Вкладка «Бюджетный мониторинг»</w:t>
            </w:r>
            <w:r>
              <w:rPr>
                <w:rStyle w:val="1312"/>
              </w:rPr>
            </w:r>
          </w:p>
          <w:p>
            <w:pPr>
              <w:pStyle w:val="1316"/>
              <w:rPr>
                <w:rStyle w:val="1312"/>
              </w:rPr>
            </w:pPr>
            <w:r>
              <w:t xml:space="preserve">Отображается, если реквизит «Тип заявки» = «Открытие» И реквизит «Признак централизации» = «1 – централизован»</w:t>
            </w:r>
            <w:r>
              <w:rPr>
                <w:rStyle w:val="1312"/>
              </w:rPr>
            </w:r>
          </w:p>
        </w:tc>
      </w:tr>
      <w:tr>
        <w:tblPrEx/>
        <w:trPr/>
        <w:tc>
          <w:tcPr>
            <w:tcW w:w="959" w:type="pct"/>
            <w:textDirection w:val="lrTb"/>
            <w:noWrap w:val="false"/>
          </w:tcPr>
          <w:p>
            <w:pPr>
              <w:pStyle w:val="1316"/>
            </w:pPr>
            <w:r>
              <w:t xml:space="preserve">Статус проверки</w:t>
            </w:r>
            <w:r/>
          </w:p>
          <w:p>
            <w:pPr>
              <w:pStyle w:val="1316"/>
            </w:pPr>
            <w:r>
              <w:t xml:space="preserve">(наименование на СФ: Статус проверки БМ)</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Да</w:t>
            </w:r>
            <w:r/>
          </w:p>
        </w:tc>
        <w:tc>
          <w:tcPr>
            <w:tcW w:w="3011" w:type="pct"/>
            <w:textDirection w:val="lrTb"/>
            <w:noWrap w:val="false"/>
          </w:tcPr>
          <w:p>
            <w:pPr>
              <w:pStyle w:val="1316"/>
            </w:pPr>
            <w:r>
              <w:t xml:space="preserve">Указывается статус выполнения проверки бюджетного мониторинга.</w:t>
            </w:r>
            <w:r/>
          </w:p>
          <w:p>
            <w:pPr>
              <w:pStyle w:val="1316"/>
              <w:rPr>
                <w:sz w:val="24"/>
              </w:rPr>
            </w:pPr>
            <w:r>
              <w:t xml:space="preserve">Заполняется автоматически.</w:t>
            </w:r>
            <w:r>
              <w:rPr>
                <w:sz w:val="24"/>
              </w:rPr>
            </w:r>
          </w:p>
          <w:p>
            <w:pPr>
              <w:pStyle w:val="1316"/>
              <w:rPr>
                <w:sz w:val="24"/>
              </w:rPr>
            </w:pPr>
            <w:r>
              <w:t xml:space="preserve">Может принимать значение:</w:t>
            </w:r>
            <w:r>
              <w:rPr>
                <w:sz w:val="24"/>
              </w:rPr>
            </w:r>
          </w:p>
          <w:p>
            <w:pPr>
              <w:pStyle w:val="1318"/>
              <w:ind w:left="340" w:hanging="227"/>
              <w:tabs>
                <w:tab w:val="num" w:pos="340" w:leader="none"/>
              </w:tabs>
            </w:pPr>
            <w:r>
              <w:t xml:space="preserve">Документ не отправлялся на проверку;</w:t>
            </w:r>
            <w:r/>
          </w:p>
          <w:p>
            <w:pPr>
              <w:pStyle w:val="1318"/>
              <w:ind w:left="340" w:hanging="227"/>
              <w:tabs>
                <w:tab w:val="num" w:pos="340" w:leader="none"/>
              </w:tabs>
            </w:pPr>
            <w:r>
              <w:t xml:space="preserve">Отправлен в КБМК ПУДС;</w:t>
            </w:r>
            <w:r/>
          </w:p>
          <w:p>
            <w:pPr>
              <w:pStyle w:val="1318"/>
              <w:ind w:left="340" w:hanging="227"/>
              <w:tabs>
                <w:tab w:val="num" w:pos="340" w:leader="none"/>
              </w:tabs>
            </w:pPr>
            <w:r>
              <w:t xml:space="preserve">Обработан в КБМК ПУДС;</w:t>
            </w:r>
            <w:r/>
          </w:p>
          <w:p>
            <w:pPr>
              <w:pStyle w:val="1318"/>
              <w:ind w:left="340" w:hanging="227"/>
              <w:tabs>
                <w:tab w:val="num" w:pos="340" w:leader="none"/>
              </w:tabs>
            </w:pPr>
            <w:r>
              <w:t xml:space="preserve">Ошибка отправки / доставки в КБМК ПУДС.</w:t>
            </w:r>
            <w:r/>
          </w:p>
          <w:p>
            <w:pPr>
              <w:pStyle w:val="1316"/>
              <w:rPr>
                <w:sz w:val="24"/>
              </w:rPr>
            </w:pPr>
            <w:r>
              <w:t xml:space="preserve">На списковой форме отображается как Фонарная группа, принимающая значения (соответственно):</w:t>
            </w:r>
            <w:r>
              <w:rPr>
                <w:sz w:val="24"/>
              </w:rPr>
            </w:r>
          </w:p>
          <w:p>
            <w:pPr>
              <w:pStyle w:val="1318"/>
              <w:ind w:left="340" w:hanging="227"/>
              <w:tabs>
                <w:tab w:val="num" w:pos="340" w:leader="none"/>
              </w:tabs>
            </w:pPr>
            <w:r>
              <w:t xml:space="preserve">(серый) – не направлялся;</w:t>
            </w:r>
            <w:r/>
          </w:p>
          <w:p>
            <w:pPr>
              <w:pStyle w:val="1318"/>
              <w:ind w:left="340" w:hanging="227"/>
              <w:tabs>
                <w:tab w:val="num" w:pos="340" w:leader="none"/>
              </w:tabs>
            </w:pPr>
            <w:r>
              <w:t xml:space="preserve">(желтый) – ожидает результата;</w:t>
            </w:r>
            <w:r/>
          </w:p>
          <w:p>
            <w:pPr>
              <w:pStyle w:val="1318"/>
              <w:ind w:left="340" w:hanging="227"/>
              <w:tabs>
                <w:tab w:val="num" w:pos="340" w:leader="none"/>
              </w:tabs>
            </w:pPr>
            <w:r>
              <w:t xml:space="preserve">(зеленый) – успешно;</w:t>
            </w:r>
            <w:r/>
          </w:p>
          <w:p>
            <w:pPr>
              <w:pStyle w:val="1318"/>
              <w:ind w:left="340" w:hanging="227"/>
              <w:tabs>
                <w:tab w:val="num" w:pos="340" w:leader="none"/>
              </w:tabs>
            </w:pPr>
            <w:r>
              <w:t xml:space="preserve">(красный) – ошибка</w:t>
            </w:r>
            <w:r/>
          </w:p>
        </w:tc>
      </w:tr>
      <w:tr>
        <w:tblPrEx/>
        <w:trPr/>
        <w:tc>
          <w:tcPr>
            <w:tcW w:w="959" w:type="pct"/>
            <w:textDirection w:val="lrTb"/>
            <w:noWrap w:val="false"/>
          </w:tcPr>
          <w:p>
            <w:pPr>
              <w:pStyle w:val="1316"/>
            </w:pPr>
            <w:r>
              <w:t xml:space="preserve">Результат проверки БМ</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Да</w:t>
            </w:r>
            <w:r/>
          </w:p>
        </w:tc>
        <w:tc>
          <w:tcPr>
            <w:tcW w:w="3011" w:type="pct"/>
            <w:textDirection w:val="lrTb"/>
            <w:noWrap w:val="false"/>
          </w:tcPr>
          <w:p>
            <w:pPr>
              <w:pStyle w:val="1316"/>
            </w:pPr>
            <w:r>
              <w:t xml:space="preserve">Указывается статус выполнения проверки бюджетного мониторинга.</w:t>
            </w:r>
            <w:r/>
          </w:p>
          <w:p>
            <w:pPr>
              <w:pStyle w:val="1316"/>
            </w:pPr>
            <w:r>
              <w:t xml:space="preserve">Заполняется автоматически.</w:t>
            </w:r>
            <w:r/>
          </w:p>
          <w:p>
            <w:pPr>
              <w:pStyle w:val="1316"/>
              <w:rPr>
                <w:sz w:val="24"/>
              </w:rPr>
            </w:pPr>
            <w:r>
              <w:t xml:space="preserve">Реквизит не отображается на визуальной форме.</w:t>
            </w:r>
            <w:r>
              <w:rPr>
                <w:sz w:val="24"/>
              </w:rPr>
            </w:r>
          </w:p>
          <w:p>
            <w:pPr>
              <w:pStyle w:val="1316"/>
              <w:rPr>
                <w:sz w:val="24"/>
              </w:rPr>
            </w:pPr>
            <w:r>
              <w:t xml:space="preserve">На списковой форме отображается как Фонарная группа, принимающая значения:</w:t>
            </w:r>
            <w:r>
              <w:rPr>
                <w:sz w:val="24"/>
              </w:rPr>
            </w:r>
          </w:p>
          <w:p>
            <w:pPr>
              <w:pStyle w:val="1318"/>
              <w:ind w:left="340" w:hanging="227"/>
              <w:tabs>
                <w:tab w:val="num" w:pos="340" w:leader="none"/>
              </w:tabs>
            </w:pPr>
            <w:r>
              <w:t xml:space="preserve">(серый) – Проверка не производилась;</w:t>
            </w:r>
            <w:r/>
          </w:p>
          <w:p>
            <w:pPr>
              <w:pStyle w:val="1318"/>
              <w:ind w:left="340" w:hanging="227"/>
              <w:tabs>
                <w:tab w:val="num" w:pos="340" w:leader="none"/>
              </w:tabs>
            </w:pPr>
            <w:r>
              <w:t xml:space="preserve">(желтый) – Выявлена мера реагирования: Предупреждение (информирование) (код 73);</w:t>
            </w:r>
            <w:r/>
          </w:p>
          <w:p>
            <w:pPr>
              <w:pStyle w:val="1318"/>
              <w:ind w:left="340" w:hanging="227"/>
              <w:tabs>
                <w:tab w:val="num" w:pos="340" w:leader="none"/>
              </w:tabs>
            </w:pPr>
            <w:r>
              <w:t xml:space="preserve">(зеленый) – Нарушения отсутствуют (код 74);</w:t>
            </w:r>
            <w:r/>
          </w:p>
          <w:p>
            <w:pPr>
              <w:pStyle w:val="1318"/>
              <w:ind w:left="340" w:hanging="227"/>
              <w:tabs>
                <w:tab w:val="num" w:pos="340" w:leader="none"/>
              </w:tabs>
            </w:pPr>
            <w:r>
              <w:t xml:space="preserve">(красный) – Выявлена мера реагирования: Отказ в открытии лицевого счета (код 71);</w:t>
            </w:r>
            <w:r/>
          </w:p>
          <w:p>
            <w:pPr>
              <w:pStyle w:val="1318"/>
              <w:ind w:left="340" w:hanging="227"/>
              <w:tabs>
                <w:tab w:val="num" w:pos="340" w:leader="none"/>
              </w:tabs>
            </w:pPr>
            <w:r>
              <w:t xml:space="preserve">(голубой) – Выявлена мера реагирования: Приостановление открытия лицевого счета (код 72)</w:t>
            </w:r>
            <w:r/>
          </w:p>
        </w:tc>
      </w:tr>
      <w:tr>
        <w:tblPrEx/>
        <w:trPr/>
        <w:tc>
          <w:tcPr>
            <w:tcW w:w="959" w:type="pct"/>
            <w:textDirection w:val="lrTb"/>
            <w:noWrap w:val="false"/>
          </w:tcPr>
          <w:p>
            <w:pPr>
              <w:pStyle w:val="1316"/>
            </w:pPr>
            <w:r>
              <w:t xml:space="preserve">Применяемая мера реагирования</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код применяемой меры реагирования, выявленный в результате проверки бюджетного мониторинга (если выявлено несколько оснований присваивается наименьшее значение).</w:t>
            </w:r>
            <w:r/>
          </w:p>
          <w:p>
            <w:pPr>
              <w:pStyle w:val="1316"/>
              <w:rPr>
                <w:sz w:val="24"/>
              </w:rPr>
            </w:pPr>
            <w:r>
              <w:t xml:space="preserve">Заполняется автоматически.</w:t>
            </w:r>
            <w:r>
              <w:rPr>
                <w:sz w:val="24"/>
              </w:rPr>
            </w:r>
          </w:p>
          <w:p>
            <w:pPr>
              <w:pStyle w:val="1316"/>
              <w:rPr>
                <w:sz w:val="24"/>
              </w:rPr>
            </w:pPr>
            <w:r>
              <w:t xml:space="preserve">Может принимать значение:</w:t>
            </w:r>
            <w:r>
              <w:rPr>
                <w:sz w:val="24"/>
              </w:rPr>
            </w:r>
          </w:p>
          <w:p>
            <w:pPr>
              <w:pStyle w:val="1318"/>
              <w:ind w:left="340" w:hanging="227"/>
              <w:tabs>
                <w:tab w:val="num" w:pos="340" w:leader="none"/>
              </w:tabs>
            </w:pPr>
            <w:r>
              <w:t xml:space="preserve">«71» – Отказ в открытии лицевого счета;</w:t>
            </w:r>
            <w:r/>
          </w:p>
          <w:p>
            <w:pPr>
              <w:pStyle w:val="1318"/>
              <w:ind w:left="340" w:hanging="227"/>
              <w:tabs>
                <w:tab w:val="num" w:pos="340" w:leader="none"/>
              </w:tabs>
            </w:pPr>
            <w:r>
              <w:t xml:space="preserve">«72» – Приостановление открытия лицевого счета;</w:t>
            </w:r>
            <w:r/>
          </w:p>
          <w:p>
            <w:pPr>
              <w:pStyle w:val="1318"/>
              <w:ind w:left="340" w:hanging="227"/>
              <w:tabs>
                <w:tab w:val="num" w:pos="340" w:leader="none"/>
              </w:tabs>
            </w:pPr>
            <w:r>
              <w:t xml:space="preserve">«73» – Предупреждение (информирование);</w:t>
            </w:r>
            <w:r/>
          </w:p>
          <w:p>
            <w:pPr>
              <w:pStyle w:val="1318"/>
              <w:ind w:left="340" w:hanging="227"/>
              <w:tabs>
                <w:tab w:val="num" w:pos="340" w:leader="none"/>
              </w:tabs>
              <w:rPr>
                <w:sz w:val="24"/>
              </w:rPr>
            </w:pPr>
            <w:r>
              <w:t xml:space="preserve">«74» – Нарушения отсутствуют</w:t>
            </w:r>
            <w:r>
              <w:rPr>
                <w:sz w:val="24"/>
              </w:rPr>
            </w:r>
          </w:p>
        </w:tc>
      </w:tr>
      <w:tr>
        <w:tblPrEx/>
        <w:trPr/>
        <w:tc>
          <w:tcPr>
            <w:gridSpan w:val="4"/>
            <w:shd w:val="clear" w:color="auto" w:fill="f2f2f2" w:themeFill="background1" w:themeFillShade="F2"/>
            <w:tcW w:w="5000" w:type="pct"/>
            <w:textDirection w:val="lrTb"/>
            <w:noWrap w:val="false"/>
          </w:tcPr>
          <w:p>
            <w:pPr>
              <w:pStyle w:val="1316"/>
              <w:rPr>
                <w:rStyle w:val="1312"/>
              </w:rPr>
            </w:pPr>
            <w:r>
              <w:rPr>
                <w:rStyle w:val="1312"/>
              </w:rPr>
              <w:t xml:space="preserve">Раздел «Результат проверки»</w:t>
            </w:r>
            <w:r>
              <w:rPr>
                <w:rStyle w:val="1312"/>
              </w:rPr>
            </w:r>
          </w:p>
        </w:tc>
      </w:tr>
      <w:tr>
        <w:tblPrEx/>
        <w:trPr/>
        <w:tc>
          <w:tcPr>
            <w:tcW w:w="959" w:type="pct"/>
            <w:textDirection w:val="lrTb"/>
            <w:noWrap w:val="false"/>
          </w:tcPr>
          <w:p>
            <w:pPr>
              <w:pStyle w:val="1316"/>
            </w:pPr>
            <w:r>
              <w:t xml:space="preserve">Код меры реагирования</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rPr>
                <w:sz w:val="24"/>
              </w:rPr>
            </w:pPr>
            <w:r>
              <w:t xml:space="preserve">Указывается код меры реагирования, выявленный в результате проверки бюджетного мониторинга.</w:t>
            </w:r>
            <w:r>
              <w:rPr>
                <w:sz w:val="24"/>
              </w:rPr>
            </w:r>
          </w:p>
          <w:p>
            <w:pPr>
              <w:pStyle w:val="1316"/>
              <w:rPr>
                <w:sz w:val="24"/>
              </w:rPr>
            </w:pPr>
            <w:r>
              <w:t xml:space="preserve">Заполняется автоматически.</w:t>
            </w:r>
            <w:r>
              <w:rPr>
                <w:sz w:val="24"/>
              </w:rPr>
            </w:r>
          </w:p>
          <w:p>
            <w:pPr>
              <w:pStyle w:val="1316"/>
              <w:rPr>
                <w:sz w:val="24"/>
              </w:rPr>
            </w:pPr>
            <w:r>
              <w:t xml:space="preserve">Может принимать значение:</w:t>
            </w:r>
            <w:r>
              <w:rPr>
                <w:sz w:val="24"/>
              </w:rPr>
            </w:r>
          </w:p>
          <w:p>
            <w:pPr>
              <w:pStyle w:val="1318"/>
              <w:ind w:left="340" w:hanging="227"/>
              <w:tabs>
                <w:tab w:val="num" w:pos="340" w:leader="none"/>
              </w:tabs>
            </w:pPr>
            <w:r>
              <w:t xml:space="preserve">«71» – Отказ в открытии лицевого счета;</w:t>
            </w:r>
            <w:r/>
          </w:p>
          <w:p>
            <w:pPr>
              <w:pStyle w:val="1318"/>
              <w:ind w:left="340" w:hanging="227"/>
              <w:tabs>
                <w:tab w:val="num" w:pos="340" w:leader="none"/>
              </w:tabs>
            </w:pPr>
            <w:r>
              <w:t xml:space="preserve">«72» – Приостановление открытия лицевого счета;</w:t>
            </w:r>
            <w:r/>
          </w:p>
          <w:p>
            <w:pPr>
              <w:pStyle w:val="1318"/>
              <w:ind w:left="340" w:hanging="227"/>
              <w:tabs>
                <w:tab w:val="num" w:pos="340" w:leader="none"/>
              </w:tabs>
            </w:pPr>
            <w:r>
              <w:t xml:space="preserve">«73» – Предупреждение (информирование);</w:t>
            </w:r>
            <w:r/>
          </w:p>
          <w:p>
            <w:pPr>
              <w:pStyle w:val="1318"/>
              <w:ind w:left="340" w:hanging="227"/>
              <w:tabs>
                <w:tab w:val="num" w:pos="340" w:leader="none"/>
              </w:tabs>
            </w:pPr>
            <w:r>
              <w:t xml:space="preserve">«74» – Нарушения отсутствуют</w:t>
            </w:r>
            <w:r/>
          </w:p>
        </w:tc>
      </w:tr>
      <w:tr>
        <w:tblPrEx/>
        <w:trPr/>
        <w:tc>
          <w:tcPr>
            <w:tcW w:w="959" w:type="pct"/>
            <w:textDirection w:val="lrTb"/>
            <w:noWrap w:val="false"/>
          </w:tcPr>
          <w:p>
            <w:pPr>
              <w:pStyle w:val="1316"/>
            </w:pPr>
            <w:r>
              <w:t xml:space="preserve">Наименование меры реагирования</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наименование меры реагирования, выявленный в результате проверки бюджетного мониторинга.</w:t>
            </w:r>
            <w:r/>
          </w:p>
          <w:p>
            <w:pPr>
              <w:pStyle w:val="1316"/>
            </w:pPr>
            <w:r>
              <w:t xml:space="preserve">Заполняется автоматически</w:t>
            </w:r>
            <w:r/>
          </w:p>
        </w:tc>
      </w:tr>
      <w:tr>
        <w:tblPrEx/>
        <w:trPr/>
        <w:tc>
          <w:tcPr>
            <w:tcW w:w="959" w:type="pct"/>
            <w:textDirection w:val="lrTb"/>
            <w:noWrap w:val="false"/>
          </w:tcPr>
          <w:p>
            <w:pPr>
              <w:pStyle w:val="1316"/>
            </w:pPr>
            <w:r>
              <w:t xml:space="preserve">Код основания</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код основания, выявленный в результате проверки бюджетного мониторинга.</w:t>
            </w:r>
            <w:r/>
          </w:p>
          <w:p>
            <w:pPr>
              <w:pStyle w:val="1316"/>
            </w:pPr>
            <w:r>
              <w:t xml:space="preserve">Заполняется автоматически</w:t>
            </w:r>
            <w:r/>
          </w:p>
        </w:tc>
      </w:tr>
      <w:tr>
        <w:tblPrEx/>
        <w:trPr/>
        <w:tc>
          <w:tcPr>
            <w:tcW w:w="959" w:type="pct"/>
            <w:textDirection w:val="lrTb"/>
            <w:noWrap w:val="false"/>
          </w:tcPr>
          <w:p>
            <w:pPr>
              <w:pStyle w:val="1316"/>
            </w:pPr>
            <w:r>
              <w:t xml:space="preserve">Наименование основания</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наименование основания, выявленный в результате проверки бюджетного мониторинга.</w:t>
            </w:r>
            <w:r/>
          </w:p>
          <w:p>
            <w:pPr>
              <w:pStyle w:val="1316"/>
            </w:pPr>
            <w:r>
              <w:t xml:space="preserve">Заполняется автоматически</w:t>
            </w:r>
            <w:r/>
          </w:p>
        </w:tc>
      </w:tr>
      <w:tr>
        <w:tblPrEx/>
        <w:trPr/>
        <w:tc>
          <w:tcPr>
            <w:tcW w:w="959" w:type="pct"/>
            <w:textDirection w:val="lrTb"/>
            <w:noWrap w:val="false"/>
          </w:tcPr>
          <w:p>
            <w:pPr>
              <w:pStyle w:val="1316"/>
            </w:pPr>
            <w:r>
              <w:t xml:space="preserve">Код основания БМ</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Да</w:t>
            </w:r>
            <w:r/>
          </w:p>
        </w:tc>
        <w:tc>
          <w:tcPr>
            <w:tcW w:w="3011" w:type="pct"/>
            <w:textDirection w:val="lrTb"/>
            <w:noWrap w:val="false"/>
          </w:tcPr>
          <w:p>
            <w:pPr>
              <w:pStyle w:val="1316"/>
            </w:pPr>
            <w:r>
              <w:t xml:space="preserve">Указывается список всех выявленных в результате проверки кодов оснований.</w:t>
            </w:r>
            <w:r/>
          </w:p>
          <w:p>
            <w:pPr>
              <w:pStyle w:val="1316"/>
              <w:rPr>
                <w:sz w:val="24"/>
              </w:rPr>
            </w:pPr>
            <w:r>
              <w:t xml:space="preserve">Заполняется автоматически.</w:t>
            </w:r>
            <w:r>
              <w:rPr>
                <w:sz w:val="24"/>
              </w:rPr>
            </w:r>
          </w:p>
          <w:p>
            <w:pPr>
              <w:pStyle w:val="1316"/>
            </w:pPr>
            <w:r>
              <w:t xml:space="preserve">Реквизит не отображается на визуальной форме</w:t>
            </w:r>
            <w:r/>
          </w:p>
        </w:tc>
      </w:tr>
      <w:tr>
        <w:tblPrEx/>
        <w:trPr/>
        <w:tc>
          <w:tcPr>
            <w:gridSpan w:val="4"/>
            <w:shd w:val="clear" w:color="auto" w:fill="f2f2f2" w:themeFill="background1" w:themeFillShade="F2"/>
            <w:tcW w:w="5000" w:type="pct"/>
            <w:textDirection w:val="lrTb"/>
            <w:noWrap w:val="false"/>
          </w:tcPr>
          <w:p>
            <w:pPr>
              <w:pStyle w:val="1316"/>
              <w:rPr>
                <w:rStyle w:val="1312"/>
                <w:b w:val="0"/>
              </w:rPr>
            </w:pPr>
            <w:r>
              <w:rPr>
                <w:rStyle w:val="1312"/>
              </w:rPr>
              <w:t xml:space="preserve">Вкладка «Сведения об обслуживании лицевого счета»</w:t>
            </w:r>
            <w:r>
              <w:rPr>
                <w:rStyle w:val="1312"/>
                <w:b w:val="0"/>
              </w:rPr>
            </w:r>
          </w:p>
          <w:p>
            <w:pPr>
              <w:pStyle w:val="1316"/>
              <w:rPr>
                <w:rStyle w:val="1312"/>
                <w:b w:val="0"/>
              </w:rPr>
            </w:pPr>
            <w:r>
              <w:rPr>
                <w:rStyle w:val="1312"/>
                <w:b w:val="0"/>
              </w:rPr>
              <w:t xml:space="preserve">Заполняется и отображается на ВФ, в случае формировании записи на основании заявления на перевод клиента в другой ТОФК / ФО для типа л/с «71</w:t>
            </w:r>
            <w:r>
              <w:rPr>
                <w:rStyle w:val="1312"/>
              </w:rPr>
              <w:t xml:space="preserve">»</w:t>
            </w:r>
            <w:r>
              <w:rPr>
                <w:rStyle w:val="1312"/>
                <w:b w:val="0"/>
              </w:rPr>
              <w:t xml:space="preserve"> (</w:t>
            </w:r>
            <w:r>
              <w:t xml:space="preserve">т.е. реквизит «Тип Заявки» = «Изменение» и реквизит «Выполнить перевод клиента на обслуживание в другой ТОФК/ФО» = «Да»)</w:t>
            </w:r>
            <w:r>
              <w:rPr>
                <w:rStyle w:val="1312"/>
                <w:b w:val="0"/>
              </w:rPr>
            </w:r>
          </w:p>
        </w:tc>
      </w:tr>
      <w:tr>
        <w:tblPrEx/>
        <w:trPr/>
        <w:tc>
          <w:tcPr>
            <w:tcW w:w="959" w:type="pct"/>
            <w:textDirection w:val="lrTb"/>
            <w:noWrap w:val="false"/>
          </w:tcPr>
          <w:p>
            <w:pPr>
              <w:pStyle w:val="1316"/>
            </w:pPr>
            <w:r>
              <w:t xml:space="preserve">Код ТОФК/ФО</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rPr>
                <w:szCs w:val="24"/>
              </w:rPr>
            </w:pPr>
            <w:r>
              <w:t xml:space="preserve">Указывается</w:t>
            </w:r>
            <w:r>
              <w:rPr>
                <w:szCs w:val="24"/>
              </w:rPr>
              <w:t xml:space="preserve"> к</w:t>
            </w:r>
            <w:r>
              <w:t xml:space="preserve">од ТОФК/ФО, в котором ранее обслуживался лицевой счет</w:t>
            </w:r>
            <w:r>
              <w:rPr>
                <w:szCs w:val="24"/>
              </w:rPr>
            </w:r>
          </w:p>
          <w:p>
            <w:pPr>
              <w:pStyle w:val="1316"/>
            </w:pPr>
            <w:r>
              <w:t xml:space="preserve">Если реквизит «Тип Заявки» = «Изменение» и реквизит «Выполнить перевод клиента на обслуживание в другой ТОФК/ФО» = «Да», то заполняется автоматически на основании реквизита «Код ТОФК/ФО» раздела «Орган Феде</w:t>
            </w:r>
            <w:r>
              <w:t xml:space="preserve">рального казначейства (в т.ч. центр специализации)/Финансовый орган по месту открытия лицевого счета» текущей записи </w:t>
            </w:r>
            <w:r/>
          </w:p>
        </w:tc>
      </w:tr>
      <w:tr>
        <w:tblPrEx/>
        <w:trPr/>
        <w:tc>
          <w:tcPr>
            <w:tcW w:w="959" w:type="pct"/>
            <w:textDirection w:val="lrTb"/>
            <w:noWrap w:val="false"/>
          </w:tcPr>
          <w:p>
            <w:pPr>
              <w:pStyle w:val="1316"/>
            </w:pPr>
            <w:r>
              <w:t xml:space="preserve">Наименование ТОФК / ФО</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rPr>
                <w:szCs w:val="24"/>
              </w:rPr>
            </w:pPr>
            <w:r>
              <w:t xml:space="preserve">Указывается наименование ТОФК/ФО, в котором ранее обслуживался лицевой счет</w:t>
            </w:r>
            <w:r>
              <w:rPr>
                <w:szCs w:val="24"/>
              </w:rPr>
            </w:r>
          </w:p>
          <w:p>
            <w:pPr>
              <w:pStyle w:val="1316"/>
            </w:pPr>
            <w:r>
              <w:t xml:space="preserve">Если реквизит «Тип Заявки» = «Изменение» и реквизит «Выполнить перевод клие</w:t>
            </w:r>
            <w:r>
              <w:t xml:space="preserve">нта на обслуживание в другой ТОФК/ФО» = «Да», то заполняется автоматически на основании реквизита «Наименование ТОФК/ФО» раздела «Орган Федерального казначейства (в т.ч. центр специализации)/Финансовый орган по месту открытия лицевого счета» текущей записи</w:t>
            </w:r>
            <w:r/>
          </w:p>
        </w:tc>
      </w:tr>
      <w:tr>
        <w:tblPrEx/>
        <w:trPr/>
        <w:tc>
          <w:tcPr>
            <w:tcW w:w="959" w:type="pct"/>
            <w:textDirection w:val="lrTb"/>
            <w:noWrap w:val="false"/>
          </w:tcPr>
          <w:p>
            <w:pPr>
              <w:pStyle w:val="1316"/>
            </w:pPr>
            <w:r>
              <w:t xml:space="preserve">Код ТОФК / ФО по СВР</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rPr>
                <w:szCs w:val="24"/>
              </w:rPr>
            </w:pPr>
            <w:r>
              <w:t xml:space="preserve">Указывается код ТОФК/ФО по СВР, в котором ранее обслуживался лицевой счет</w:t>
            </w:r>
            <w:r>
              <w:rPr>
                <w:szCs w:val="24"/>
              </w:rPr>
            </w:r>
          </w:p>
          <w:p>
            <w:pPr>
              <w:pStyle w:val="1316"/>
            </w:pPr>
            <w:r>
              <w:t xml:space="preserve">Если реквизит «Тип Заявки» = «Изменение» и реквизит «Выполнить перевод кл</w:t>
            </w:r>
            <w:r>
              <w:t xml:space="preserve">иента на обслуживание в другой ТОФК/ФО» = «Да», то заполняется автоматически на основании реквизита «Код ТОФК/ФО по СВР» раздела «Орган Федерального казначейства (в т.ч. центр специализации)/Финансовый орган по месту открытия лицевого счета» текущей записи</w:t>
            </w:r>
            <w:r/>
          </w:p>
        </w:tc>
      </w:tr>
      <w:tr>
        <w:tblPrEx/>
        <w:trPr/>
        <w:tc>
          <w:tcPr>
            <w:tcW w:w="959" w:type="pct"/>
            <w:textDirection w:val="lrTb"/>
            <w:noWrap w:val="false"/>
          </w:tcPr>
          <w:p>
            <w:pPr>
              <w:pStyle w:val="1316"/>
            </w:pPr>
            <w:r>
              <w:t xml:space="preserve">Дата передачи ведения ЛС</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rPr>
                <w:szCs w:val="24"/>
              </w:rPr>
            </w:pPr>
            <w:r>
              <w:t xml:space="preserve">Указывается</w:t>
            </w:r>
            <w:r>
              <w:rPr>
                <w:szCs w:val="24"/>
              </w:rPr>
              <w:t xml:space="preserve"> дата передали л/с на обслуживание в другой ТОФК / ФО</w:t>
            </w:r>
            <w:r>
              <w:rPr>
                <w:szCs w:val="24"/>
              </w:rPr>
            </w:r>
          </w:p>
          <w:p>
            <w:pPr>
              <w:pStyle w:val="1316"/>
            </w:pPr>
            <w:r>
              <w:t xml:space="preserve">Если реквизит «Тип Заявки» = «Изменение» и реквизит «Выполнить перевод клиента на обслуживание в другой ТОФК/ФО» = «Да», то заполняется автоматически текущей датой</w:t>
            </w:r>
            <w:r/>
          </w:p>
        </w:tc>
      </w:tr>
      <w:tr>
        <w:tblPrEx/>
        <w:trPr/>
        <w:tc>
          <w:tcPr>
            <w:gridSpan w:val="4"/>
            <w:shd w:val="clear" w:color="auto" w:fill="f2f2f2" w:themeFill="background1" w:themeFillShade="F2"/>
            <w:tcW w:w="5000" w:type="pct"/>
            <w:textDirection w:val="lrTb"/>
            <w:noWrap w:val="false"/>
          </w:tcPr>
          <w:p>
            <w:pPr>
              <w:pStyle w:val="1316"/>
              <w:rPr>
                <w:rStyle w:val="1312"/>
                <w:sz w:val="24"/>
              </w:rPr>
            </w:pPr>
            <w:r>
              <w:rPr>
                <w:rStyle w:val="1312"/>
              </w:rPr>
              <w:t xml:space="preserve">Дополнительная информация </w:t>
            </w:r>
            <w:r>
              <w:rPr>
                <w:rStyle w:val="1312"/>
                <w:sz w:val="24"/>
              </w:rPr>
            </w:r>
          </w:p>
          <w:p>
            <w:pPr>
              <w:pStyle w:val="1316"/>
              <w:rPr>
                <w:rStyle w:val="1312"/>
              </w:rPr>
            </w:pPr>
            <w:r>
              <w:t xml:space="preserve">Указанный реквизит не отображается на визуальной форме</w:t>
            </w:r>
            <w:r>
              <w:rPr>
                <w:rStyle w:val="1312"/>
              </w:rPr>
            </w:r>
          </w:p>
        </w:tc>
      </w:tr>
      <w:tr>
        <w:tblPrEx/>
        <w:trPr/>
        <w:tc>
          <w:tcPr>
            <w:tcW w:w="959" w:type="pct"/>
            <w:textDirection w:val="lrTb"/>
            <w:noWrap w:val="false"/>
          </w:tcPr>
          <w:p>
            <w:pPr>
              <w:pStyle w:val="1316"/>
            </w:pPr>
            <w:r>
              <w:t xml:space="preserve">Статус</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Да</w:t>
            </w:r>
            <w:r/>
          </w:p>
        </w:tc>
        <w:tc>
          <w:tcPr>
            <w:tcW w:w="3011" w:type="pct"/>
            <w:textDirection w:val="lrTb"/>
            <w:noWrap w:val="false"/>
          </w:tcPr>
          <w:p>
            <w:pPr>
              <w:pStyle w:val="1316"/>
              <w:rPr>
                <w:sz w:val="24"/>
              </w:rPr>
            </w:pPr>
            <w:r>
              <w:t xml:space="preserve">Указывается статус заявки в соответствии со статусной моделью.</w:t>
            </w:r>
            <w:r>
              <w:rPr>
                <w:sz w:val="24"/>
              </w:rPr>
            </w:r>
          </w:p>
          <w:p>
            <w:pPr>
              <w:pStyle w:val="1316"/>
              <w:rPr>
                <w:sz w:val="24"/>
              </w:rPr>
            </w:pPr>
            <w:r>
              <w:t xml:space="preserve">Заполняется автоматически.</w:t>
            </w:r>
            <w:r>
              <w:rPr>
                <w:sz w:val="24"/>
              </w:rPr>
            </w:r>
          </w:p>
          <w:p>
            <w:pPr>
              <w:pStyle w:val="1316"/>
              <w:rPr>
                <w:sz w:val="24"/>
              </w:rPr>
            </w:pPr>
            <w:r>
              <w:t xml:space="preserve">На списковой форме отображается как Фонарная группа (ФГ), принимающая значения:</w:t>
            </w:r>
            <w:r>
              <w:rPr>
                <w:sz w:val="24"/>
              </w:rPr>
            </w:r>
          </w:p>
          <w:p>
            <w:pPr>
              <w:pStyle w:val="1318"/>
              <w:ind w:left="340" w:hanging="227"/>
              <w:tabs>
                <w:tab w:val="num" w:pos="340" w:leader="none"/>
              </w:tabs>
            </w:pPr>
            <w:r>
              <w:t xml:space="preserve">(серый) – документ создан;</w:t>
            </w:r>
            <w:r/>
          </w:p>
          <w:p>
            <w:pPr>
              <w:pStyle w:val="1318"/>
              <w:ind w:left="340" w:hanging="227"/>
              <w:tabs>
                <w:tab w:val="num" w:pos="340" w:leader="none"/>
              </w:tabs>
            </w:pPr>
            <w:r>
              <w:t xml:space="preserve">(желтый) – документ в обработке, итоговое решение по заявке не принято;</w:t>
            </w:r>
            <w:r/>
          </w:p>
          <w:p>
            <w:pPr>
              <w:pStyle w:val="1318"/>
              <w:ind w:left="340" w:hanging="227"/>
              <w:tabs>
                <w:tab w:val="num" w:pos="340" w:leader="none"/>
              </w:tabs>
            </w:pPr>
            <w:r>
              <w:t xml:space="preserve">(зеленый) – документ утвержден, документ в конечном статусе;</w:t>
            </w:r>
            <w:r/>
          </w:p>
          <w:p>
            <w:pPr>
              <w:pStyle w:val="1318"/>
              <w:ind w:left="340" w:hanging="227"/>
              <w:tabs>
                <w:tab w:val="num" w:pos="340" w:leader="none"/>
              </w:tabs>
            </w:pPr>
            <w:r>
              <w:t xml:space="preserve">(красный) – документ отклонен, документ в конечном статусе</w:t>
            </w:r>
            <w:r/>
          </w:p>
        </w:tc>
      </w:tr>
      <w:tr>
        <w:tblPrEx/>
        <w:trPr/>
        <w:tc>
          <w:tcPr>
            <w:tcW w:w="959" w:type="pct"/>
            <w:textDirection w:val="lrTb"/>
            <w:noWrap w:val="false"/>
          </w:tcPr>
          <w:p>
            <w:pPr>
              <w:pStyle w:val="1316"/>
            </w:pPr>
            <w:r>
              <w:t xml:space="preserve">Системное имя статуса</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Да</w:t>
            </w:r>
            <w:r/>
          </w:p>
        </w:tc>
        <w:tc>
          <w:tcPr>
            <w:tcW w:w="3011" w:type="pct"/>
            <w:textDirection w:val="lrTb"/>
            <w:noWrap w:val="false"/>
          </w:tcPr>
          <w:p>
            <w:pPr>
              <w:pStyle w:val="1316"/>
              <w:rPr>
                <w:sz w:val="24"/>
              </w:rPr>
            </w:pPr>
            <w:r>
              <w:t xml:space="preserve">Указывается системное имя статуса документа.</w:t>
            </w:r>
            <w:r>
              <w:rPr>
                <w:sz w:val="24"/>
              </w:rPr>
            </w:r>
          </w:p>
          <w:p>
            <w:pPr>
              <w:pStyle w:val="1316"/>
            </w:pPr>
            <w:r>
              <w:t xml:space="preserve">Заполняется автоматически</w:t>
            </w:r>
            <w:r/>
          </w:p>
        </w:tc>
      </w:tr>
      <w:tr>
        <w:tblPrEx/>
        <w:trPr/>
        <w:tc>
          <w:tcPr>
            <w:tcW w:w="959" w:type="pct"/>
            <w:textDirection w:val="lrTb"/>
            <w:noWrap w:val="false"/>
          </w:tcPr>
          <w:p>
            <w:pPr>
              <w:pStyle w:val="1316"/>
            </w:pPr>
            <w:r>
              <w:t xml:space="preserve">Дата подписания</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Да</w:t>
            </w:r>
            <w:r/>
          </w:p>
        </w:tc>
        <w:tc>
          <w:tcPr>
            <w:tcW w:w="3011" w:type="pct"/>
            <w:textDirection w:val="lrTb"/>
            <w:noWrap w:val="false"/>
          </w:tcPr>
          <w:p>
            <w:pPr>
              <w:pStyle w:val="1316"/>
              <w:rPr>
                <w:sz w:val="24"/>
              </w:rPr>
            </w:pPr>
            <w:r>
              <w:t xml:space="preserve">Указывается дата подписания.</w:t>
            </w:r>
            <w:r>
              <w:rPr>
                <w:sz w:val="24"/>
              </w:rPr>
            </w:r>
          </w:p>
          <w:p>
            <w:pPr>
              <w:pStyle w:val="1316"/>
            </w:pPr>
            <w:r>
              <w:t xml:space="preserve">Заполняется автоматически</w:t>
            </w:r>
            <w:r/>
          </w:p>
        </w:tc>
      </w:tr>
      <w:tr>
        <w:tblPrEx/>
        <w:trPr/>
        <w:tc>
          <w:tcPr>
            <w:tcW w:w="959" w:type="pct"/>
            <w:textDirection w:val="lrTb"/>
            <w:noWrap w:val="false"/>
          </w:tcPr>
          <w:p>
            <w:pPr>
              <w:pStyle w:val="1316"/>
            </w:pPr>
            <w:r>
              <w:t xml:space="preserve">Дата поступления ЦС</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Нет</w:t>
            </w:r>
            <w:r/>
          </w:p>
        </w:tc>
        <w:tc>
          <w:tcPr>
            <w:tcW w:w="3011" w:type="pct"/>
            <w:textDirection w:val="lrTb"/>
            <w:noWrap w:val="false"/>
          </w:tcPr>
          <w:p>
            <w:pPr>
              <w:pStyle w:val="1316"/>
              <w:rPr>
                <w:sz w:val="24"/>
              </w:rPr>
            </w:pPr>
            <w:r>
              <w:t xml:space="preserve">Указывается дата поступления ЦС.</w:t>
            </w:r>
            <w:r>
              <w:rPr>
                <w:sz w:val="24"/>
              </w:rPr>
            </w:r>
          </w:p>
          <w:p>
            <w:pPr>
              <w:pStyle w:val="1316"/>
              <w:rPr>
                <w:sz w:val="24"/>
              </w:rPr>
            </w:pPr>
            <w:r>
              <w:t xml:space="preserve">Заполняется автоматически.</w:t>
            </w:r>
            <w:r>
              <w:rPr>
                <w:sz w:val="24"/>
              </w:rPr>
            </w:r>
          </w:p>
          <w:p>
            <w:pPr>
              <w:pStyle w:val="1316"/>
            </w:pPr>
            <w:r>
              <w:t xml:space="preserve">Заполняется если реквизит «Тип лицевого счета» = «71» ИЛИ реквизит «Признак централизации» = «1 – централизован»</w:t>
            </w:r>
            <w:r/>
          </w:p>
        </w:tc>
      </w:tr>
      <w:tr>
        <w:tblPrEx/>
        <w:trPr/>
        <w:tc>
          <w:tcPr>
            <w:tcW w:w="959" w:type="pct"/>
            <w:textDirection w:val="lrTb"/>
            <w:noWrap w:val="false"/>
          </w:tcPr>
          <w:p>
            <w:pPr>
              <w:pStyle w:val="1316"/>
            </w:pPr>
            <w:r>
              <w:t xml:space="preserve">Протокол</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Да</w:t>
            </w:r>
            <w:r/>
          </w:p>
        </w:tc>
        <w:tc>
          <w:tcPr>
            <w:tcW w:w="3011" w:type="pct"/>
            <w:textDirection w:val="lrTb"/>
            <w:noWrap w:val="false"/>
          </w:tcPr>
          <w:p>
            <w:pPr>
              <w:pStyle w:val="1316"/>
              <w:rPr>
                <w:sz w:val="24"/>
              </w:rPr>
            </w:pPr>
            <w:r>
              <w:t xml:space="preserve">Указывается идентификатор (</w:t>
            </w:r>
            <w:r>
              <w:rPr>
                <w:lang w:val="en-US"/>
              </w:rPr>
              <w:t xml:space="preserve">GUID</w:t>
            </w:r>
            <w:r>
              <w:t xml:space="preserve">) соответствующей записи формуляра «Протоколы».</w:t>
            </w:r>
            <w:r>
              <w:rPr>
                <w:sz w:val="24"/>
              </w:rPr>
            </w:r>
          </w:p>
          <w:p>
            <w:pPr>
              <w:pStyle w:val="1316"/>
            </w:pPr>
            <w:r>
              <w:t xml:space="preserve">Заполняется автоматически в случае принятия решения в отказе выполнения по заявке</w:t>
            </w:r>
            <w:r/>
          </w:p>
        </w:tc>
      </w:tr>
      <w:tr>
        <w:tblPrEx/>
        <w:trPr/>
        <w:tc>
          <w:tcPr>
            <w:tcW w:w="959" w:type="pct"/>
            <w:textDirection w:val="lrTb"/>
            <w:noWrap w:val="false"/>
          </w:tcPr>
          <w:p>
            <w:pPr>
              <w:pStyle w:val="1316"/>
            </w:pPr>
            <w:r>
              <w:t xml:space="preserve">Дата создания протокола </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Да</w:t>
            </w:r>
            <w:r/>
          </w:p>
        </w:tc>
        <w:tc>
          <w:tcPr>
            <w:tcW w:w="3011" w:type="pct"/>
            <w:textDirection w:val="lrTb"/>
            <w:noWrap w:val="false"/>
          </w:tcPr>
          <w:p>
            <w:pPr>
              <w:pStyle w:val="1316"/>
              <w:rPr>
                <w:sz w:val="24"/>
              </w:rPr>
            </w:pPr>
            <w:r>
              <w:t xml:space="preserve">Указывается дата формирования формуляр «Протоколы».</w:t>
            </w:r>
            <w:r>
              <w:rPr>
                <w:sz w:val="24"/>
              </w:rPr>
            </w:r>
          </w:p>
          <w:p>
            <w:pPr>
              <w:pStyle w:val="1316"/>
            </w:pPr>
            <w:r>
              <w:t xml:space="preserve">Заполняется автоматически в случае принятия решения в отказе выполнения по заявке</w:t>
            </w:r>
            <w:r/>
          </w:p>
        </w:tc>
      </w:tr>
      <w:tr>
        <w:tblPrEx/>
        <w:trPr/>
        <w:tc>
          <w:tcPr>
            <w:tcW w:w="959" w:type="pct"/>
            <w:textDirection w:val="lrTb"/>
            <w:noWrap w:val="false"/>
          </w:tcPr>
          <w:p>
            <w:pPr>
              <w:pStyle w:val="1316"/>
            </w:pPr>
            <w:r>
              <w:t xml:space="preserve">Извещение</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Да</w:t>
            </w:r>
            <w:r/>
          </w:p>
        </w:tc>
        <w:tc>
          <w:tcPr>
            <w:tcW w:w="3011" w:type="pct"/>
            <w:textDirection w:val="lrTb"/>
            <w:noWrap w:val="false"/>
          </w:tcPr>
          <w:p>
            <w:pPr>
              <w:pStyle w:val="1316"/>
              <w:rPr>
                <w:sz w:val="24"/>
              </w:rPr>
            </w:pPr>
            <w:r>
              <w:t xml:space="preserve">Указывается идентификатор (</w:t>
            </w:r>
            <w:r>
              <w:rPr>
                <w:lang w:val="en-US"/>
              </w:rPr>
              <w:t xml:space="preserve">GUID</w:t>
            </w:r>
            <w:r>
              <w:t xml:space="preserve">) соответствующей записи формуляра «Извещение ФНС по ЛС».</w:t>
            </w:r>
            <w:r>
              <w:rPr>
                <w:sz w:val="24"/>
              </w:rPr>
            </w:r>
          </w:p>
          <w:p>
            <w:pPr>
              <w:pStyle w:val="1316"/>
            </w:pPr>
            <w:r>
              <w:t xml:space="preserve">Заполняется автоматически</w:t>
            </w:r>
            <w:r/>
          </w:p>
        </w:tc>
      </w:tr>
      <w:tr>
        <w:tblPrEx/>
        <w:trPr/>
        <w:tc>
          <w:tcPr>
            <w:tcW w:w="959" w:type="pct"/>
            <w:textDirection w:val="lrTb"/>
            <w:noWrap w:val="false"/>
          </w:tcPr>
          <w:p>
            <w:pPr>
              <w:pStyle w:val="1316"/>
            </w:pPr>
            <w:r>
              <w:t xml:space="preserve">Дата создания извещения</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Да</w:t>
            </w:r>
            <w:r/>
          </w:p>
        </w:tc>
        <w:tc>
          <w:tcPr>
            <w:tcW w:w="3011" w:type="pct"/>
            <w:textDirection w:val="lrTb"/>
            <w:noWrap w:val="false"/>
          </w:tcPr>
          <w:p>
            <w:pPr>
              <w:pStyle w:val="1316"/>
              <w:rPr>
                <w:sz w:val="24"/>
              </w:rPr>
            </w:pPr>
            <w:r>
              <w:t xml:space="preserve">Указывается дата формирования формуляр «Извещение ФНС по ЛС».</w:t>
            </w:r>
            <w:r>
              <w:rPr>
                <w:sz w:val="24"/>
              </w:rPr>
            </w:r>
          </w:p>
          <w:p>
            <w:pPr>
              <w:pStyle w:val="1316"/>
            </w:pPr>
            <w:r>
              <w:t xml:space="preserve">Заполняется автоматически</w:t>
            </w:r>
            <w:r/>
          </w:p>
        </w:tc>
      </w:tr>
      <w:tr>
        <w:tblPrEx/>
        <w:trPr/>
        <w:tc>
          <w:tcPr>
            <w:tcW w:w="959" w:type="pct"/>
            <w:textDirection w:val="lrTb"/>
            <w:noWrap w:val="false"/>
          </w:tcPr>
          <w:p>
            <w:pPr>
              <w:pStyle w:val="1316"/>
            </w:pPr>
            <w:r>
              <w:t xml:space="preserve">Реестровая запись</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Да</w:t>
            </w:r>
            <w:r/>
          </w:p>
        </w:tc>
        <w:tc>
          <w:tcPr>
            <w:tcW w:w="3011" w:type="pct"/>
            <w:textDirection w:val="lrTb"/>
            <w:noWrap w:val="false"/>
          </w:tcPr>
          <w:p>
            <w:pPr>
              <w:pStyle w:val="1316"/>
              <w:rPr>
                <w:sz w:val="24"/>
              </w:rPr>
            </w:pPr>
            <w:r>
              <w:t xml:space="preserve">Указывается идентификатор (</w:t>
            </w:r>
            <w:r>
              <w:rPr>
                <w:lang w:val="en-US"/>
              </w:rPr>
              <w:t xml:space="preserve">GUID</w:t>
            </w:r>
            <w:r>
              <w:t xml:space="preserve">) соответствующей записи справочника «Книга регистрации лицевых счетов»</w:t>
            </w:r>
            <w:r>
              <w:rPr>
                <w:sz w:val="24"/>
              </w:rPr>
            </w:r>
          </w:p>
          <w:p>
            <w:pPr>
              <w:pStyle w:val="1316"/>
            </w:pPr>
            <w:r>
              <w:t xml:space="preserve">Заполняется автоматически</w:t>
            </w:r>
            <w:r/>
          </w:p>
        </w:tc>
      </w:tr>
      <w:tr>
        <w:tblPrEx/>
        <w:trPr/>
        <w:tc>
          <w:tcPr>
            <w:tcW w:w="959" w:type="pct"/>
            <w:textDirection w:val="lrTb"/>
            <w:noWrap w:val="false"/>
          </w:tcPr>
          <w:p>
            <w:pPr>
              <w:pStyle w:val="1316"/>
            </w:pPr>
            <w:r>
              <w:t xml:space="preserve">Системное имя подписанта УО</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Да</w:t>
            </w:r>
            <w:r/>
          </w:p>
        </w:tc>
        <w:tc>
          <w:tcPr>
            <w:tcW w:w="3011" w:type="pct"/>
            <w:textDirection w:val="lrTb"/>
            <w:noWrap w:val="false"/>
          </w:tcPr>
          <w:p>
            <w:pPr>
              <w:pStyle w:val="1316"/>
              <w:rPr>
                <w:sz w:val="24"/>
              </w:rPr>
            </w:pPr>
            <w:r>
              <w:t xml:space="preserve">Указывается системное имя специалиста уполномоченной организации, подписавшего заявление.</w:t>
            </w:r>
            <w:r>
              <w:rPr>
                <w:sz w:val="24"/>
              </w:rPr>
            </w:r>
          </w:p>
          <w:p>
            <w:pPr>
              <w:pStyle w:val="1316"/>
            </w:pPr>
            <w:r>
              <w:t xml:space="preserve">Заполняется автоматически</w:t>
            </w:r>
            <w:r/>
          </w:p>
        </w:tc>
      </w:tr>
      <w:tr>
        <w:tblPrEx/>
        <w:trPr/>
        <w:tc>
          <w:tcPr>
            <w:tcW w:w="959" w:type="pct"/>
            <w:textDirection w:val="lrTb"/>
            <w:noWrap w:val="false"/>
          </w:tcPr>
          <w:p>
            <w:pPr>
              <w:pStyle w:val="1316"/>
            </w:pPr>
            <w:r>
              <w:t xml:space="preserve">Дата и время отправки на утверждение</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Да</w:t>
            </w:r>
            <w:r/>
          </w:p>
        </w:tc>
        <w:tc>
          <w:tcPr>
            <w:tcW w:w="3011" w:type="pct"/>
            <w:textDirection w:val="lrTb"/>
            <w:noWrap w:val="false"/>
          </w:tcPr>
          <w:p>
            <w:pPr>
              <w:pStyle w:val="1316"/>
              <w:rPr>
                <w:sz w:val="24"/>
              </w:rPr>
            </w:pPr>
            <w:r>
              <w:t xml:space="preserve">Указывается дата и время отправки на утверждение.</w:t>
            </w:r>
            <w:r>
              <w:rPr>
                <w:sz w:val="24"/>
              </w:rPr>
            </w:r>
          </w:p>
          <w:p>
            <w:pPr>
              <w:pStyle w:val="1316"/>
            </w:pPr>
            <w:r>
              <w:t xml:space="preserve">Заполняется автоматически</w:t>
            </w:r>
            <w:r/>
          </w:p>
        </w:tc>
      </w:tr>
      <w:tr>
        <w:tblPrEx/>
        <w:trPr/>
        <w:tc>
          <w:tcPr>
            <w:tcW w:w="959" w:type="pct"/>
            <w:textDirection w:val="lrTb"/>
            <w:noWrap w:val="false"/>
          </w:tcPr>
          <w:p>
            <w:pPr>
              <w:pStyle w:val="1316"/>
            </w:pPr>
            <w:r>
              <w:t xml:space="preserve">Уведомление о приостановлении</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Да</w:t>
            </w:r>
            <w:r/>
          </w:p>
        </w:tc>
        <w:tc>
          <w:tcPr>
            <w:tcW w:w="3011" w:type="pct"/>
            <w:textDirection w:val="lrTb"/>
            <w:noWrap w:val="false"/>
          </w:tcPr>
          <w:p>
            <w:pPr>
              <w:pStyle w:val="1316"/>
              <w:rPr>
                <w:sz w:val="24"/>
              </w:rPr>
            </w:pPr>
            <w:r>
              <w:t xml:space="preserve">Указывается идентификатор (</w:t>
            </w:r>
            <w:r>
              <w:rPr>
                <w:lang w:val="en-US"/>
              </w:rPr>
              <w:t xml:space="preserve">GUID</w:t>
            </w:r>
            <w:r>
              <w:t xml:space="preserve">) соответствующей записи формуляра «Уведомление об открытии (отказе открытия) лицевого счета головному исполнителю (исполнителю)» с типом уведомления = «Приостановление».</w:t>
            </w:r>
            <w:r>
              <w:rPr>
                <w:sz w:val="24"/>
              </w:rPr>
            </w:r>
          </w:p>
          <w:p>
            <w:pPr>
              <w:pStyle w:val="1316"/>
            </w:pPr>
            <w:r>
              <w:t xml:space="preserve">Заполняется автоматически</w:t>
            </w:r>
            <w:r/>
          </w:p>
        </w:tc>
      </w:tr>
      <w:tr>
        <w:tblPrEx/>
        <w:trPr/>
        <w:tc>
          <w:tcPr>
            <w:tcW w:w="959" w:type="pct"/>
            <w:textDirection w:val="lrTb"/>
            <w:noWrap w:val="false"/>
          </w:tcPr>
          <w:p>
            <w:pPr>
              <w:pStyle w:val="1316"/>
            </w:pPr>
            <w:r>
              <w:t xml:space="preserve">Уведомление о Решении заказчика</w:t>
            </w:r>
            <w:r/>
          </w:p>
        </w:tc>
        <w:tc>
          <w:tcPr>
            <w:tcW w:w="515" w:type="pct"/>
            <w:textDirection w:val="lrTb"/>
            <w:noWrap w:val="false"/>
          </w:tcPr>
          <w:p>
            <w:pPr>
              <w:pStyle w:val="1316"/>
            </w:pPr>
            <w:r>
              <w:t xml:space="preserve">Нет</w:t>
            </w:r>
            <w:r/>
          </w:p>
        </w:tc>
        <w:tc>
          <w:tcPr>
            <w:tcW w:w="515" w:type="pct"/>
            <w:textDirection w:val="lrTb"/>
            <w:noWrap w:val="false"/>
          </w:tcPr>
          <w:p>
            <w:pPr>
              <w:pStyle w:val="1316"/>
            </w:pPr>
            <w:r>
              <w:t xml:space="preserve">Да</w:t>
            </w:r>
            <w:r/>
          </w:p>
        </w:tc>
        <w:tc>
          <w:tcPr>
            <w:tcW w:w="3011" w:type="pct"/>
            <w:textDirection w:val="lrTb"/>
            <w:noWrap w:val="false"/>
          </w:tcPr>
          <w:p>
            <w:pPr>
              <w:pStyle w:val="1316"/>
              <w:rPr>
                <w:sz w:val="24"/>
              </w:rPr>
            </w:pPr>
            <w:r>
              <w:t xml:space="preserve">Указывается идентификатор (</w:t>
            </w:r>
            <w:r>
              <w:rPr>
                <w:lang w:val="en-US"/>
              </w:rPr>
              <w:t xml:space="preserve">GUID</w:t>
            </w:r>
            <w:r>
              <w:t xml:space="preserve">) соответствующей записи формуляра «Уведомление об открытии (отказе открытия) лицевого счета головному исполнителю (исполнителю)» с типом уведомления = «Решение заказчика».</w:t>
            </w:r>
            <w:r>
              <w:rPr>
                <w:sz w:val="24"/>
              </w:rPr>
            </w:r>
          </w:p>
          <w:p>
            <w:pPr>
              <w:pStyle w:val="1316"/>
            </w:pPr>
            <w:r>
              <w:t xml:space="preserve">Заполняется автоматически</w:t>
            </w:r>
            <w:r/>
          </w:p>
        </w:tc>
      </w:tr>
      <w:tr>
        <w:tblPrEx/>
        <w:trPr/>
        <w:tc>
          <w:tcPr>
            <w:tcW w:w="959" w:type="pct"/>
            <w:textDirection w:val="lrTb"/>
            <w:noWrap w:val="false"/>
          </w:tcPr>
          <w:p>
            <w:pPr>
              <w:pStyle w:val="1316"/>
            </w:pPr>
            <w:r>
              <w:t xml:space="preserve">Признак централизации</w:t>
            </w:r>
            <w:r/>
          </w:p>
        </w:tc>
        <w:tc>
          <w:tcPr>
            <w:tcW w:w="515" w:type="pct"/>
            <w:textDirection w:val="lrTb"/>
            <w:noWrap w:val="false"/>
          </w:tcPr>
          <w:p>
            <w:pPr>
              <w:pStyle w:val="1316"/>
            </w:pPr>
            <w:r>
              <w:t xml:space="preserve">Да</w:t>
            </w:r>
            <w:r/>
          </w:p>
        </w:tc>
        <w:tc>
          <w:tcPr>
            <w:tcW w:w="515" w:type="pct"/>
            <w:textDirection w:val="lrTb"/>
            <w:noWrap w:val="false"/>
          </w:tcPr>
          <w:p>
            <w:pPr>
              <w:pStyle w:val="1316"/>
            </w:pPr>
            <w:r>
              <w:t xml:space="preserve">Нет</w:t>
            </w:r>
            <w:r/>
          </w:p>
        </w:tc>
        <w:tc>
          <w:tcPr>
            <w:tcW w:w="3011" w:type="pct"/>
            <w:textDirection w:val="lrTb"/>
            <w:noWrap w:val="false"/>
          </w:tcPr>
          <w:p>
            <w:pPr>
              <w:pStyle w:val="1316"/>
            </w:pPr>
            <w:r>
              <w:t xml:space="preserve">Указывается признак централизованного ведения ЛС, технический реквизит.</w:t>
            </w:r>
            <w:r/>
          </w:p>
          <w:p>
            <w:pPr>
              <w:pStyle w:val="1316"/>
            </w:pPr>
            <w:r>
              <w:t xml:space="preserve">Заполняется автоматически при создании заявки, по умолчанию принимает значение «Нет».</w:t>
            </w:r>
            <w:r/>
          </w:p>
          <w:p>
            <w:pPr>
              <w:pStyle w:val="1316"/>
            </w:pPr>
            <w:r>
              <w:t xml:space="preserve">Реквизит принимает значение «Да» при выполнении следующих условий: </w:t>
            </w:r>
            <w:r/>
          </w:p>
          <w:p>
            <w:pPr>
              <w:pStyle w:val="1318"/>
              <w:ind w:left="340" w:hanging="227"/>
              <w:tabs>
                <w:tab w:val="num" w:pos="340" w:leader="none"/>
              </w:tabs>
            </w:pPr>
            <w:r>
              <w:t xml:space="preserve">реквизит «Тип заявки» = «Открытие»;</w:t>
            </w:r>
            <w:r/>
          </w:p>
          <w:p>
            <w:pPr>
              <w:pStyle w:val="1318"/>
              <w:ind w:left="340" w:hanging="227"/>
              <w:tabs>
                <w:tab w:val="num" w:pos="340" w:leader="none"/>
              </w:tabs>
            </w:pPr>
            <w:r>
              <w:t xml:space="preserve">реквизит «Бюджет» = «99010001»;</w:t>
            </w:r>
            <w:r/>
          </w:p>
          <w:p>
            <w:pPr>
              <w:pStyle w:val="1318"/>
              <w:ind w:left="340" w:hanging="227"/>
              <w:tabs>
                <w:tab w:val="num" w:pos="340" w:leader="none"/>
              </w:tabs>
            </w:pPr>
            <w:r>
              <w:t xml:space="preserve">реквизит «Тип ЛС» в справочнике «Типы лицевых счетов» указан как централизованный и для него заполнен справочник «Центры специализации».</w:t>
            </w:r>
            <w:r/>
          </w:p>
          <w:p>
            <w:pPr>
              <w:pStyle w:val="1316"/>
            </w:pPr>
            <w:r>
              <w:t xml:space="preserve">Реквизит не отображается на СФ / ВФ</w:t>
            </w:r>
            <w:r/>
          </w:p>
        </w:tc>
      </w:tr>
    </w:tbl>
    <w:p>
      <w:pPr>
        <w:pStyle w:val="1283"/>
      </w:pPr>
      <w:r/>
      <w:bookmarkStart w:id="303" w:name="_Toc163671822"/>
      <w:r/>
      <w:bookmarkStart w:id="304" w:name="_Toc163671825"/>
      <w:r/>
      <w:bookmarkStart w:id="305" w:name="_Toc163671826"/>
      <w:r/>
      <w:bookmarkStart w:id="306" w:name="_Toc163671827"/>
      <w:r/>
      <w:bookmarkStart w:id="307" w:name="_Toc163671970"/>
      <w:r/>
      <w:bookmarkStart w:id="308" w:name="_Toc163671971"/>
      <w:r/>
      <w:bookmarkStart w:id="309" w:name="_Toc163671972"/>
      <w:r/>
      <w:bookmarkStart w:id="310" w:name="_Toc163671974"/>
      <w:r/>
      <w:bookmarkStart w:id="311" w:name="_Toc163474605"/>
      <w:r/>
      <w:bookmarkStart w:id="312" w:name="_Toc163475335"/>
      <w:r/>
      <w:bookmarkStart w:id="313" w:name="_Toc163671976"/>
      <w:r/>
      <w:bookmarkStart w:id="314" w:name="_Toc163672222"/>
      <w:r/>
      <w:bookmarkStart w:id="315" w:name="_Toc163672651"/>
      <w:r/>
      <w:bookmarkStart w:id="316" w:name="_Toc163672652"/>
      <w:r/>
      <w:bookmarkStart w:id="317" w:name="_Toc163672653"/>
      <w:r/>
      <w:bookmarkStart w:id="318" w:name="_Toc163672655"/>
      <w:r/>
      <w:bookmarkStart w:id="319" w:name="_Toc163672656"/>
      <w:r/>
      <w:bookmarkStart w:id="320" w:name="_Toc163672657"/>
      <w:r/>
      <w:bookmarkStart w:id="321" w:name="_Toc163672659"/>
      <w:r/>
      <w:bookmarkStart w:id="322" w:name="_Toc163672661"/>
      <w:r/>
      <w:bookmarkStart w:id="323" w:name="_Toc163672663"/>
      <w:r/>
      <w:bookmarkStart w:id="324" w:name="_Toc163672665"/>
      <w:r/>
      <w:bookmarkStart w:id="325" w:name="_Toc163672667"/>
      <w:r/>
      <w:bookmarkStart w:id="326" w:name="_Toc163672668"/>
      <w:r/>
      <w:bookmarkStart w:id="327" w:name="_Toc163672669"/>
      <w:r/>
      <w:bookmarkStart w:id="328" w:name="_Toc163672670"/>
      <w:r/>
      <w:bookmarkStart w:id="329" w:name="_Toc163673772"/>
      <w:r/>
      <w:bookmarkStart w:id="330" w:name="_Toc163673773"/>
      <w:r/>
      <w:bookmarkStart w:id="331" w:name="_Toc163673774"/>
      <w:r/>
      <w:bookmarkStart w:id="332" w:name="_Toc163673775"/>
      <w:r/>
      <w:bookmarkStart w:id="333" w:name="_Toc163673776"/>
      <w:r/>
      <w:bookmarkStart w:id="334" w:name="_Toc163673777"/>
      <w:r/>
      <w:bookmarkStart w:id="335" w:name="_Toc163673778"/>
      <w:r/>
      <w:bookmarkStart w:id="336" w:name="_Toc163673779"/>
      <w:r/>
      <w:bookmarkStart w:id="337" w:name="_Toc163673780"/>
      <w:r/>
      <w:bookmarkStart w:id="338" w:name="_Toc163673781"/>
      <w:r/>
      <w:bookmarkStart w:id="339" w:name="_Toc163673782"/>
      <w:r/>
      <w:bookmarkStart w:id="340" w:name="_Toc163673783"/>
      <w:r/>
      <w:bookmarkStart w:id="341" w:name="_Toc163673784"/>
      <w:r/>
      <w:bookmarkStart w:id="342" w:name="_Toc163673785"/>
      <w:r/>
      <w:bookmarkStart w:id="343" w:name="_Toc163673786"/>
      <w:r/>
      <w:bookmarkStart w:id="344" w:name="_Toc163673787"/>
      <w:r/>
      <w:bookmarkStart w:id="345" w:name="_Toc163673788"/>
      <w:r/>
      <w:bookmarkStart w:id="346" w:name="_Toc163673789"/>
      <w:r/>
      <w:bookmarkStart w:id="347" w:name="_Toc163673790"/>
      <w:r/>
      <w:bookmarkStart w:id="348" w:name="_Toc163673791"/>
      <w:r/>
      <w:bookmarkStart w:id="349" w:name="_Toc221869898"/>
      <w:r/>
      <w:bookmarkEnd w:id="303"/>
      <w:r/>
      <w:bookmarkEnd w:id="304"/>
      <w:r/>
      <w:bookmarkEnd w:id="305"/>
      <w:r/>
      <w:bookmarkEnd w:id="306"/>
      <w:r/>
      <w:bookmarkEnd w:id="307"/>
      <w:r/>
      <w:bookmarkEnd w:id="308"/>
      <w:r/>
      <w:bookmarkEnd w:id="309"/>
      <w:r/>
      <w:bookmarkEnd w:id="310"/>
      <w:r/>
      <w:bookmarkEnd w:id="311"/>
      <w:r/>
      <w:bookmarkEnd w:id="312"/>
      <w:r/>
      <w:bookmarkEnd w:id="313"/>
      <w:r/>
      <w:bookmarkEnd w:id="314"/>
      <w:r/>
      <w:bookmarkEnd w:id="315"/>
      <w:r/>
      <w:bookmarkEnd w:id="316"/>
      <w:r/>
      <w:bookmarkEnd w:id="317"/>
      <w:r/>
      <w:bookmarkEnd w:id="318"/>
      <w:r/>
      <w:bookmarkEnd w:id="319"/>
      <w:r/>
      <w:bookmarkEnd w:id="320"/>
      <w:r/>
      <w:bookmarkEnd w:id="321"/>
      <w:r/>
      <w:bookmarkEnd w:id="322"/>
      <w:r/>
      <w:bookmarkEnd w:id="323"/>
      <w:r/>
      <w:bookmarkEnd w:id="324"/>
      <w:r/>
      <w:bookmarkEnd w:id="325"/>
      <w:r/>
      <w:bookmarkEnd w:id="326"/>
      <w:r/>
      <w:bookmarkEnd w:id="327"/>
      <w:r/>
      <w:bookmarkEnd w:id="328"/>
      <w:r/>
      <w:bookmarkEnd w:id="329"/>
      <w:r/>
      <w:bookmarkEnd w:id="330"/>
      <w:r/>
      <w:bookmarkEnd w:id="331"/>
      <w:r/>
      <w:bookmarkEnd w:id="332"/>
      <w:r/>
      <w:bookmarkEnd w:id="333"/>
      <w:r/>
      <w:bookmarkEnd w:id="334"/>
      <w:r/>
      <w:bookmarkEnd w:id="335"/>
      <w:r/>
      <w:bookmarkEnd w:id="336"/>
      <w:r/>
      <w:bookmarkEnd w:id="337"/>
      <w:r/>
      <w:bookmarkEnd w:id="338"/>
      <w:r/>
      <w:bookmarkEnd w:id="339"/>
      <w:r/>
      <w:bookmarkEnd w:id="340"/>
      <w:r/>
      <w:bookmarkEnd w:id="341"/>
      <w:r/>
      <w:bookmarkEnd w:id="342"/>
      <w:r/>
      <w:bookmarkEnd w:id="343"/>
      <w:r/>
      <w:bookmarkEnd w:id="344"/>
      <w:r/>
      <w:bookmarkEnd w:id="345"/>
      <w:r/>
      <w:bookmarkEnd w:id="346"/>
      <w:r/>
      <w:bookmarkEnd w:id="347"/>
      <w:r/>
      <w:bookmarkEnd w:id="348"/>
      <w:r>
        <w:t xml:space="preserve">Создание заявления на резервирование лицевого счета</w:t>
      </w:r>
      <w:bookmarkEnd w:id="349"/>
      <w:r/>
      <w:r/>
    </w:p>
    <w:p>
      <w:pPr>
        <w:pStyle w:val="1284"/>
      </w:pPr>
      <w:r/>
      <w:bookmarkStart w:id="350" w:name="_Toc221869899"/>
      <w:r>
        <w:t xml:space="preserve">Общая информация</w:t>
      </w:r>
      <w:bookmarkEnd w:id="350"/>
      <w:r/>
      <w:r/>
    </w:p>
    <w:p>
      <w:pPr>
        <w:pStyle w:val="1305"/>
      </w:pPr>
      <w:r>
        <w:t xml:space="preserve">Возможность резервирования лицевого счета реализована для типа лицевого счета «71».</w:t>
      </w:r>
      <w:r/>
    </w:p>
    <w:p>
      <w:pPr>
        <w:pStyle w:val="1305"/>
      </w:pPr>
      <w:r>
        <w:t xml:space="preserve">Резервирование лицевого счета осу</w:t>
      </w:r>
      <w:r>
        <w:t xml:space="preserve">ществляется в разделе «Подсистема нормативно-справочной информации» – «Ведение справочников, реестров, классификаторов» – «Книга регистрации лицевых счетов» – «Заявление на изменение справочника «Книги регистрации лицевых счетов» / «Открыть лицевой счет». </w:t>
      </w:r>
      <w:r/>
    </w:p>
    <w:p>
      <w:pPr>
        <w:pStyle w:val="1305"/>
      </w:pPr>
      <w:r>
        <w:t xml:space="preserve">Для резервирования лицевого счета формируется Заявление на изменение справочника «Книги регистрации лицевых счетов», тип заявки «Резервирование». </w:t>
      </w:r>
      <w:r/>
    </w:p>
    <w:p>
      <w:pPr>
        <w:pStyle w:val="1305"/>
      </w:pPr>
      <w:r>
        <w:t xml:space="preserve">На основании утвержденного Заявления на изменение справочника «Книги регистрации лицевых счетов», тип заявки «Резервирование» в справочнике «Книга регистрации лицевых счетов» формируется новая запись в статусе «Зарезервирован».</w:t>
      </w:r>
      <w:r/>
    </w:p>
    <w:p>
      <w:pPr>
        <w:pStyle w:val="1305"/>
      </w:pPr>
      <w:r>
        <w:t xml:space="preserve">Схемы взаимодействия клиентов и ТОФК/ФО (ТОФК по месту нахождения/обращения клиента, Центров специализации, Фин. органов) при резервировании и открытии «единых» лицевых счетов (разделов на лицевых счетах) приведены в приложении </w:t>
      </w:r>
      <w:r>
        <w:fldChar w:fldCharType="begin"/>
      </w:r>
      <w:r>
        <w:instrText xml:space="preserve"> REF _Ref94687264 \h  \* MERGEFORMAT </w:instrText>
      </w:r>
      <w:r>
        <w:fldChar w:fldCharType="separate"/>
      </w:r>
      <w:r>
        <w:t xml:space="preserve">1</w:t>
      </w:r>
      <w:r>
        <w:fldChar w:fldCharType="end"/>
      </w:r>
      <w:r>
        <w:t xml:space="preserve"> настоящего документа.</w:t>
      </w:r>
      <w:r/>
    </w:p>
    <w:p>
      <w:pPr>
        <w:pStyle w:val="1284"/>
      </w:pPr>
      <w:r/>
      <w:bookmarkStart w:id="351" w:name="_Toc221869900"/>
      <w:r>
        <w:t xml:space="preserve">Формирование заявления на резервирование лицевого счета в ЛК НСИ</w:t>
      </w:r>
      <w:bookmarkEnd w:id="351"/>
      <w:r/>
      <w:r/>
    </w:p>
    <w:p>
      <w:pPr>
        <w:pStyle w:val="1305"/>
      </w:pPr>
      <w:r/>
      <w:bookmarkStart w:id="352" w:name="_Hlk216441146"/>
      <w:r>
        <w:t xml:space="preserve">Клиент, не включенный в справочник «Сводный реестр» и «Реестр ИП и КФХ» НСИ ЭБ, но зарегистрированный в ПОИБ СОБИ ФК (далее – саморегистрирующийся Клиент), может самостоятельно зарезервировать лицевой счет в ЛК НСИ ЭБ описание см.</w:t>
      </w:r>
      <w:r>
        <w:t xml:space="preserve"> </w:t>
      </w:r>
      <w:r>
        <w:t xml:space="preserve">п.</w:t>
      </w:r>
      <w:r>
        <w:t xml:space="preserve"> </w:t>
      </w:r>
      <w:r>
        <w:t xml:space="preserve">4.2.3.3.</w:t>
      </w:r>
      <w:bookmarkEnd w:id="352"/>
      <w:r/>
    </w:p>
    <w:p>
      <w:pPr>
        <w:pStyle w:val="1306"/>
      </w:pPr>
      <w:r>
        <w:t xml:space="preserve">Для создания Заявления на резервирование лицевого счета Пользователь в установленном порядке фо</w:t>
      </w:r>
      <w:r>
        <w:t xml:space="preserve">рмирует Заявление на закрытие лицевого счета в НСИ ЭБ в виде формуляра «Заявление на изменение справочника «Книга регистрации лицевых счетов» с типом заявки «Резервирование» (далее – Заявление на резервирование ЛС), необходимо выполнить следующие действия:</w:t>
      </w:r>
      <w:r/>
    </w:p>
    <w:p>
      <w:pPr>
        <w:pStyle w:val="1296"/>
      </w:pPr>
      <w:r>
        <w:t xml:space="preserve">зайти в ЛК НСИ ЭБ и перейти в раздел «Подсистема нормативно-справочной информации» – «Ведение справочников, реестров, классификаторов» – «Книга регистрации лицевых счетов» – «Заявление на изменение справочника «Книги регистрации лицевых счетов» </w:t>
      </w:r>
      <w:r>
        <w:t xml:space="preserve">/</w:t>
      </w:r>
      <w:r>
        <w:t xml:space="preserve"> «Открыть лицевой счет». Откроется списковая форма документа;</w:t>
      </w:r>
      <w:r/>
    </w:p>
    <w:p>
      <w:pPr>
        <w:pStyle w:val="1296"/>
      </w:pPr>
      <w:r>
        <w:t xml:space="preserve">в открывшемся реестре заявок нажать кнопку </w:t>
      </w:r>
      <w:r>
        <mc:AlternateContent>
          <mc:Choice Requires="wpg">
            <w:drawing>
              <wp:inline xmlns:wp="http://schemas.openxmlformats.org/drawingml/2006/wordprocessingDrawing" distT="0" distB="0" distL="0" distR="0">
                <wp:extent cx="314286" cy="295238"/>
                <wp:effectExtent l="0" t="0" r="0" b="0"/>
                <wp:docPr id="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3"/>
                        <a:stretch/>
                      </pic:blipFill>
                      <pic:spPr bwMode="auto">
                        <a:xfrm>
                          <a:off x="0" y="0"/>
                          <a:ext cx="314286" cy="29523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24.75pt;height:23.25pt;mso-wrap-distance-left:0.00pt;mso-wrap-distance-top:0.00pt;mso-wrap-distance-right:0.00pt;mso-wrap-distance-bottom:0.00pt;" stroked="false">
                <v:path textboxrect="0,0,0,0"/>
                <v:imagedata r:id="rId33" o:title=""/>
              </v:shape>
            </w:pict>
          </mc:Fallback>
        </mc:AlternateContent>
      </w:r>
      <w:r>
        <w:t xml:space="preserve"> «Создать новый документ»;</w:t>
      </w:r>
      <w:r/>
    </w:p>
    <w:p>
      <w:pPr>
        <w:pStyle w:val="1296"/>
      </w:pPr>
      <w:r>
        <w:t xml:space="preserve">выбрать тип заявки «Резервирование»;</w:t>
      </w:r>
      <w:r/>
    </w:p>
    <w:p>
      <w:pPr>
        <w:pStyle w:val="1296"/>
      </w:pPr>
      <w:r>
        <w:t xml:space="preserve">в открывшейся форме заявки заполнить обязательные атрибуты заявки (основная информация о Клиенте заполнена </w:t>
      </w:r>
      <w:r>
        <w:t xml:space="preserve">данными о клиенте по Сводному реестру / Реестру ИП, КФХ</w:t>
      </w:r>
      <w:r>
        <w:t xml:space="preserve">);</w:t>
      </w:r>
      <w:r/>
    </w:p>
    <w:p>
      <w:pPr>
        <w:pStyle w:val="1307"/>
      </w:pPr>
      <w:r>
        <w:rPr>
          <w:rStyle w:val="1312"/>
        </w:rPr>
        <w:t xml:space="preserve">Примечание.</w:t>
      </w:r>
      <w:r>
        <w:tab/>
        <w:t xml:space="preserve">В случае необходимости, вносятся изменения в блок реквизитов «Сведения о месте нахождения клиента на территории Российской Федерации» в соответствии с фактическим местом ведения финансово-хозяйственной деятельностью.</w:t>
      </w:r>
      <w:r/>
    </w:p>
    <w:p>
      <w:pPr>
        <w:pStyle w:val="1296"/>
      </w:pPr>
      <w:r>
        <w:t xml:space="preserve">в форме заявления нажать кнопку «Сохранить и закрыть».</w:t>
      </w:r>
      <w:r/>
    </w:p>
    <w:p>
      <w:pPr>
        <w:pStyle w:val="1305"/>
      </w:pPr>
      <w:r>
        <w:t xml:space="preserve">Заявление на резервирование ЛС </w:t>
      </w:r>
      <w:r>
        <w:t xml:space="preserve">сохраняется в</w:t>
      </w:r>
      <w:r>
        <w:t xml:space="preserve"> статус</w:t>
      </w:r>
      <w:r>
        <w:t xml:space="preserve">е</w:t>
      </w:r>
      <w:r>
        <w:t xml:space="preserve"> «Черновик», и </w:t>
      </w:r>
      <w:r>
        <w:t xml:space="preserve">оно </w:t>
      </w:r>
      <w:r>
        <w:t xml:space="preserve">готово к выполнению дальнейших действий (рис.</w:t>
      </w:r>
      <w:r>
        <w:t xml:space="preserve"> </w:t>
      </w:r>
      <w:r>
        <w:fldChar w:fldCharType="begin"/>
      </w:r>
      <w:r>
        <w:instrText xml:space="preserve"> REF _Ref216706205 \h </w:instrText>
      </w:r>
      <w:r>
        <w:instrText xml:space="preserve"> \* MERGEFORMAT </w:instrText>
      </w:r>
      <w:r>
        <w:fldChar w:fldCharType="separate"/>
      </w:r>
      <w:r>
        <w:t xml:space="preserve">15</w:t>
      </w:r>
      <w:r>
        <w:fldChar w:fldCharType="end"/>
      </w:r>
      <w:r>
        <w:t xml:space="preserve">).</w:t>
      </w:r>
      <w:r>
        <w:t xml:space="preserve"> </w:t>
      </w:r>
      <w:r/>
    </w:p>
    <w:p>
      <w:pPr>
        <w:pStyle w:val="1293"/>
      </w:pPr>
      <w:r>
        <mc:AlternateContent>
          <mc:Choice Requires="wpg">
            <w:drawing>
              <wp:inline xmlns:wp="http://schemas.openxmlformats.org/drawingml/2006/wordprocessingDrawing" distT="0" distB="0" distL="0" distR="0">
                <wp:extent cx="6120130" cy="1001395"/>
                <wp:effectExtent l="0" t="0" r="0" b="0"/>
                <wp:docPr id="16"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4"/>
                        <a:stretch/>
                      </pic:blipFill>
                      <pic:spPr bwMode="auto">
                        <a:xfrm>
                          <a:off x="0" y="0"/>
                          <a:ext cx="6120130" cy="10013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81.90pt;height:78.85pt;mso-wrap-distance-left:0.00pt;mso-wrap-distance-top:0.00pt;mso-wrap-distance-right:0.00pt;mso-wrap-distance-bottom:0.00pt;" stroked="false">
                <v:path textboxrect="0,0,0,0"/>
                <v:imagedata r:id="rId34" o:title=""/>
              </v:shape>
            </w:pict>
          </mc:Fallback>
        </mc:AlternateContent>
      </w:r>
      <w:r/>
    </w:p>
    <w:p>
      <w:pPr>
        <w:pStyle w:val="1294"/>
      </w:pPr>
      <w:r>
        <w:fldChar w:fldCharType="begin"/>
      </w:r>
      <w:r>
        <w:instrText xml:space="preserve"> SEQ Рисунок \* ARABIC </w:instrText>
      </w:r>
      <w:r>
        <w:fldChar w:fldCharType="separate"/>
      </w:r>
      <w:bookmarkStart w:id="353" w:name="_Ref216706205"/>
      <w:r/>
      <w:bookmarkStart w:id="354" w:name="_Toc221869967"/>
      <w:r>
        <w:t xml:space="preserve">15</w:t>
      </w:r>
      <w:bookmarkEnd w:id="353"/>
      <w:r>
        <w:fldChar w:fldCharType="end"/>
      </w:r>
      <w:r>
        <w:t xml:space="preserve">. Списковая форма Реестра заявок на изменение Книги регистрации лицевых счетов</w:t>
      </w:r>
      <w:bookmarkEnd w:id="354"/>
      <w:r/>
      <w:r/>
    </w:p>
    <w:p>
      <w:pPr>
        <w:pStyle w:val="1305"/>
      </w:pPr>
      <w:r>
        <w:t xml:space="preserve">Далее</w:t>
      </w:r>
      <w:r>
        <w:t xml:space="preserve"> необходимо зарезервировать лицевой счет (выполнить действие «Зарезервировать»), статус документа изменится на статус «Обработан» (рис</w:t>
      </w:r>
      <w:r>
        <w:t xml:space="preserve">.</w:t>
      </w:r>
      <w:r>
        <w:t xml:space="preserve"> </w:t>
      </w:r>
      <w:r>
        <w:fldChar w:fldCharType="begin"/>
      </w:r>
      <w:r>
        <w:instrText xml:space="preserve"> REF _Ref216706214 \h </w:instrText>
      </w:r>
      <w:r>
        <w:instrText xml:space="preserve"> \* MERGEFORMAT </w:instrText>
      </w:r>
      <w:r>
        <w:fldChar w:fldCharType="separate"/>
      </w:r>
      <w:r>
        <w:t xml:space="preserve">16</w:t>
      </w:r>
      <w:r>
        <w:fldChar w:fldCharType="end"/>
      </w:r>
      <w:r>
        <w:t xml:space="preserve">).</w:t>
      </w:r>
      <w:r>
        <w:t xml:space="preserve"> </w:t>
      </w:r>
      <w:r/>
    </w:p>
    <w:p>
      <w:pPr>
        <w:pStyle w:val="1293"/>
      </w:pPr>
      <w:r>
        <mc:AlternateContent>
          <mc:Choice Requires="wpg">
            <w:drawing>
              <wp:inline xmlns:wp="http://schemas.openxmlformats.org/drawingml/2006/wordprocessingDrawing" distT="0" distB="0" distL="0" distR="0">
                <wp:extent cx="6120130" cy="1943100"/>
                <wp:effectExtent l="0" t="0" r="0" b="0"/>
                <wp:docPr id="17"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5"/>
                        <a:stretch/>
                      </pic:blipFill>
                      <pic:spPr bwMode="auto">
                        <a:xfrm>
                          <a:off x="0" y="0"/>
                          <a:ext cx="6120130" cy="19431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481.90pt;height:153.00pt;mso-wrap-distance-left:0.00pt;mso-wrap-distance-top:0.00pt;mso-wrap-distance-right:0.00pt;mso-wrap-distance-bottom:0.00pt;" stroked="false">
                <v:path textboxrect="0,0,0,0"/>
                <v:imagedata r:id="rId35" o:title=""/>
              </v:shape>
            </w:pict>
          </mc:Fallback>
        </mc:AlternateContent>
      </w:r>
      <w:r/>
    </w:p>
    <w:p>
      <w:pPr>
        <w:pStyle w:val="1294"/>
      </w:pPr>
      <w:r>
        <w:fldChar w:fldCharType="begin"/>
      </w:r>
      <w:r>
        <w:instrText xml:space="preserve"> SEQ Рисунок \* ARABIC </w:instrText>
      </w:r>
      <w:r>
        <w:fldChar w:fldCharType="separate"/>
      </w:r>
      <w:bookmarkStart w:id="355" w:name="_Ref216706214"/>
      <w:r/>
      <w:bookmarkStart w:id="356" w:name="_Toc221869968"/>
      <w:r>
        <w:t xml:space="preserve">16</w:t>
      </w:r>
      <w:bookmarkEnd w:id="355"/>
      <w:r>
        <w:fldChar w:fldCharType="end"/>
      </w:r>
      <w:r>
        <w:t xml:space="preserve">. Резервирование лицевого счета с типом «71»</w:t>
      </w:r>
      <w:bookmarkEnd w:id="356"/>
      <w:r/>
      <w:r/>
    </w:p>
    <w:p>
      <w:pPr>
        <w:pStyle w:val="1305"/>
      </w:pPr>
      <w:r>
        <w:t xml:space="preserve">В справочнике «Книга регистрации лицевых счетов» будут внесены следующие изменения (рис.</w:t>
      </w:r>
      <w:r>
        <w:t xml:space="preserve"> </w:t>
      </w:r>
      <w:r>
        <w:fldChar w:fldCharType="begin"/>
      </w:r>
      <w:r>
        <w:instrText xml:space="preserve"> REF _Ref216706227 \h </w:instrText>
      </w:r>
      <w:r>
        <w:instrText xml:space="preserve"> \* MERGEFORMAT </w:instrText>
      </w:r>
      <w:r>
        <w:fldChar w:fldCharType="separate"/>
      </w:r>
      <w:r>
        <w:t xml:space="preserve">17</w:t>
      </w:r>
      <w:r>
        <w:fldChar w:fldCharType="end"/>
      </w:r>
      <w:r>
        <w:t xml:space="preserve">):</w:t>
      </w:r>
      <w:r>
        <w:t xml:space="preserve"> </w:t>
      </w:r>
      <w:r/>
    </w:p>
    <w:p>
      <w:pPr>
        <w:pStyle w:val="1296"/>
      </w:pPr>
      <w:r>
        <w:t xml:space="preserve">осуществляется добавление новой записи в статусе «Зарезервирован» и бизнес статус = «3 – Зарезервирован», дата резервирования лицевого счета = текущей дате.</w:t>
      </w:r>
      <w:r/>
    </w:p>
    <w:p>
      <w:pPr>
        <w:pStyle w:val="1293"/>
      </w:pPr>
      <w:r>
        <mc:AlternateContent>
          <mc:Choice Requires="wpg">
            <w:drawing>
              <wp:inline xmlns:wp="http://schemas.openxmlformats.org/drawingml/2006/wordprocessingDrawing" distT="0" distB="0" distL="0" distR="0">
                <wp:extent cx="6120130" cy="1232535"/>
                <wp:effectExtent l="0" t="0" r="0" b="0"/>
                <wp:docPr id="18"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6"/>
                        <a:stretch/>
                      </pic:blipFill>
                      <pic:spPr bwMode="auto">
                        <a:xfrm>
                          <a:off x="0" y="0"/>
                          <a:ext cx="6120130" cy="123253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481.90pt;height:97.05pt;mso-wrap-distance-left:0.00pt;mso-wrap-distance-top:0.00pt;mso-wrap-distance-right:0.00pt;mso-wrap-distance-bottom:0.00pt;" stroked="false">
                <v:path textboxrect="0,0,0,0"/>
                <v:imagedata r:id="rId36" o:title=""/>
              </v:shape>
            </w:pict>
          </mc:Fallback>
        </mc:AlternateContent>
      </w:r>
      <w:r/>
    </w:p>
    <w:p>
      <w:pPr>
        <w:pStyle w:val="1294"/>
      </w:pPr>
      <w:r>
        <w:fldChar w:fldCharType="begin"/>
      </w:r>
      <w:r>
        <w:instrText xml:space="preserve"> SEQ Рисунок \* ARABIC </w:instrText>
      </w:r>
      <w:r>
        <w:fldChar w:fldCharType="separate"/>
      </w:r>
      <w:bookmarkStart w:id="357" w:name="_Ref216706227"/>
      <w:r/>
      <w:bookmarkStart w:id="358" w:name="_Toc221869969"/>
      <w:r>
        <w:t xml:space="preserve">17</w:t>
      </w:r>
      <w:bookmarkEnd w:id="357"/>
      <w:r>
        <w:fldChar w:fldCharType="end"/>
      </w:r>
      <w:r>
        <w:t xml:space="preserve">. Отображение зарезервированного лицевого счета в справочнике «Книга регистрации лицевых счетов»</w:t>
      </w:r>
      <w:bookmarkEnd w:id="358"/>
      <w:r/>
      <w:r/>
    </w:p>
    <w:p>
      <w:pPr>
        <w:pStyle w:val="1284"/>
      </w:pPr>
      <w:r/>
      <w:bookmarkStart w:id="359" w:name="_Toc5270825"/>
      <w:r/>
      <w:bookmarkStart w:id="360" w:name="_Toc5270826"/>
      <w:r/>
      <w:bookmarkStart w:id="361" w:name="_Toc5270827"/>
      <w:r/>
      <w:bookmarkStart w:id="362" w:name="_Toc9251562"/>
      <w:r/>
      <w:bookmarkStart w:id="363" w:name="_Toc9251639"/>
      <w:r/>
      <w:bookmarkStart w:id="364" w:name="_Toc10131154"/>
      <w:r/>
      <w:bookmarkStart w:id="365" w:name="_Toc10215121"/>
      <w:r/>
      <w:bookmarkStart w:id="366" w:name="_Toc5270828"/>
      <w:r/>
      <w:bookmarkStart w:id="367" w:name="_Toc9251563"/>
      <w:r/>
      <w:bookmarkStart w:id="368" w:name="_Toc9251640"/>
      <w:r/>
      <w:bookmarkStart w:id="369" w:name="_Toc10131155"/>
      <w:r/>
      <w:bookmarkStart w:id="370" w:name="_Toc10215122"/>
      <w:r/>
      <w:bookmarkStart w:id="371" w:name="_Toc221869901"/>
      <w:r/>
      <w:bookmarkStart w:id="372" w:name="_Hlk216441130"/>
      <w:r/>
      <w:bookmarkEnd w:id="359"/>
      <w:r/>
      <w:bookmarkEnd w:id="360"/>
      <w:r/>
      <w:bookmarkEnd w:id="361"/>
      <w:r/>
      <w:bookmarkEnd w:id="362"/>
      <w:r/>
      <w:bookmarkEnd w:id="363"/>
      <w:r/>
      <w:bookmarkEnd w:id="364"/>
      <w:r/>
      <w:bookmarkEnd w:id="365"/>
      <w:r/>
      <w:bookmarkEnd w:id="366"/>
      <w:r/>
      <w:bookmarkEnd w:id="367"/>
      <w:r/>
      <w:bookmarkEnd w:id="368"/>
      <w:r/>
      <w:bookmarkEnd w:id="369"/>
      <w:r/>
      <w:bookmarkEnd w:id="370"/>
      <w:r>
        <w:t xml:space="preserve">Формирование заявления на резервирование лицевого счета в ЛК НСИ (саморегистрирующийся)</w:t>
      </w:r>
      <w:bookmarkEnd w:id="371"/>
      <w:r/>
      <w:r/>
    </w:p>
    <w:p>
      <w:pPr>
        <w:pStyle w:val="1305"/>
      </w:pPr>
      <w:r/>
      <w:bookmarkStart w:id="373" w:name="_Toc163568849"/>
      <w:r/>
      <w:bookmarkStart w:id="374" w:name="_Hlk163566698"/>
      <w:r/>
      <w:bookmarkStart w:id="375" w:name="_Ref161827380"/>
      <w:r/>
      <w:bookmarkEnd w:id="372"/>
      <w:r>
        <w:t xml:space="preserve">Клиент, не включенный в справочник «Сводный реестр» и «Реестр ИП и КФХ» НСИ ЭБ, но зарегистрированный в ПОИБ СОБИ ФК (далее – саморегистрирующийся Клиент), может самостоятельно зарезервировать лицевой счет в ЛК НСИ ЭБ. </w:t>
      </w:r>
      <w:r/>
    </w:p>
    <w:p>
      <w:pPr>
        <w:pStyle w:val="1305"/>
      </w:pPr>
      <w:r>
        <w:t xml:space="preserve">Для данной возможности саморегистрирующемуся Клиенту в ПОИБ СОБИ ФК должна быть назначена роль «НСИ.001. Саморегистрация. Исполнитель ЛС».</w:t>
      </w:r>
      <w:r/>
    </w:p>
    <w:p>
      <w:pPr>
        <w:pStyle w:val="1305"/>
      </w:pPr>
      <w:r>
        <w:t xml:space="preserve">Формирование </w:t>
      </w:r>
      <w:r>
        <w:rPr>
          <w:szCs w:val="22"/>
        </w:rPr>
        <w:t xml:space="preserve">Заявления</w:t>
      </w:r>
      <w:r>
        <w:t xml:space="preserve"> на резервирование лицевого счета для саморегистрирующегося Клиента осуществляется в штатном режиме (см.п.</w:t>
      </w:r>
      <w:r>
        <w:t xml:space="preserve">4.2.3.3).</w:t>
      </w:r>
      <w:r/>
    </w:p>
    <w:p>
      <w:pPr>
        <w:pStyle w:val="1305"/>
      </w:pPr>
      <w:r>
        <w:t xml:space="preserve">При формировании нового документа «Заявление на изменение Книги регистрации лицевых счетов» тип </w:t>
      </w:r>
      <w:r>
        <w:rPr>
          <w:szCs w:val="22"/>
        </w:rPr>
        <w:t xml:space="preserve">заявления</w:t>
      </w:r>
      <w:r>
        <w:t xml:space="preserve"> автоматически определяется как «Резервирование» и не доступен для редактирования.</w:t>
      </w:r>
      <w:r/>
    </w:p>
    <w:p>
      <w:pPr>
        <w:pStyle w:val="1305"/>
      </w:pPr>
      <w:r>
        <w:t xml:space="preserve">Для саморегистрирующегося Клиента реквизиты организации ОГРН / ОГРНИП (в зависимости от типа клиента), ИНН и КПП заполнены автоматически на основа</w:t>
      </w:r>
      <w:r>
        <w:t xml:space="preserve">нии данных учетной записи текущего пользователя и не доступны для редактирования. На основании данных реквизитов по кнопке «Выбрать из справочника ЕГРЮЛ / ЕГРИП», автоматически заполняются основные сведения об организации из справочника «ЕГРЮЛ» / «ЕГРИП». </w:t>
      </w:r>
      <w:r/>
    </w:p>
    <w:p>
      <w:pPr>
        <w:pStyle w:val="1305"/>
      </w:pPr>
      <w:r>
        <w:t xml:space="preserve">Далее необходимо заполнить обязательные реквизиты.</w:t>
      </w:r>
      <w:r/>
    </w:p>
    <w:p>
      <w:pPr>
        <w:pStyle w:val="1305"/>
      </w:pPr>
      <w:r>
        <w:t xml:space="preserve">Для саморегистрирующегося Клиента реквизит «Клиент отсутствует в Сводном реестре/реестре ИП, КФХ» установлен автоматически и не доступен для редактирования. Далее необходимо проверить заполнение реквизита «Код субъекта» (если</w:t>
      </w:r>
      <w:r>
        <w:t xml:space="preserve"> информация не заполнена на основании справочника «ЕГРЮЛ» / «ЕГРИП» реквизит требуется заполнить вручную) и необходимо проверить заполнение реквизита «Код ТОФК по месту нахождения клиента» (заполняется автоматически на основании реквизита «Код субъекта»). </w:t>
      </w:r>
      <w:r/>
    </w:p>
    <w:p>
      <w:pPr>
        <w:pStyle w:val="1305"/>
      </w:pPr>
      <w:r>
        <w:t xml:space="preserve">Далее необходимо определить учетный </w:t>
      </w:r>
      <w:r>
        <w:t xml:space="preserve">номер клиента, необходимый для формирования номера ЛС, для этого требуется нажать на кнопку «Создать документ «Заявка на включение информации об организации в Сводный реестр/ Реестр ИП и КФХ» в разделе «Основные сведения о клиенте», в результате автоматиче</w:t>
      </w:r>
      <w:r>
        <w:t xml:space="preserve">ски будет сформирован проект Заявки на включение организации в справочник «Сводные реестр» / «Реестр ИП и КФХ» (далее – Заявка на включение в реестр) в статусе «Черновик», в которой Клиенту будет присвоен учетный номера клиента. Заявка на включение в реест</w:t>
      </w:r>
      <w:r>
        <w:t xml:space="preserve">р передается для обработки в ТОФК по месту нахождения лицевого счета. В Заявлении на резервирование ЛС автоматически формируется номер лицевого счета. После заполнения все обязательных реквизитов в Заявлении необходимо нажать кнопку «Сохранить и закрыть». </w:t>
      </w:r>
      <w:r/>
    </w:p>
    <w:p>
      <w:pPr>
        <w:pStyle w:val="1305"/>
      </w:pPr>
      <w:r>
        <w:t xml:space="preserve">Заявление на резервирование ЛС сохраняется в статусе «Черновик», и </w:t>
      </w:r>
      <w:r>
        <w:t xml:space="preserve">оно </w:t>
      </w:r>
      <w:r>
        <w:t xml:space="preserve">готово к выполнению дальнейших действий. Далее необходимо зарезервировать лицевой счет (выполнить действие «Зарезервировать»), статус документа изменится на статус «Обработан».</w:t>
      </w:r>
      <w:r/>
    </w:p>
    <w:p>
      <w:pPr>
        <w:pStyle w:val="1283"/>
      </w:pPr>
      <w:r/>
      <w:bookmarkStart w:id="376" w:name="_Toc216124214"/>
      <w:r/>
      <w:bookmarkStart w:id="377" w:name="_Toc216437517"/>
      <w:r/>
      <w:bookmarkStart w:id="378" w:name="_Toc221869902"/>
      <w:r/>
      <w:bookmarkStart w:id="379" w:name="_Ref183508530"/>
      <w:r/>
      <w:bookmarkEnd w:id="373"/>
      <w:r>
        <w:t xml:space="preserve">Создание заявления на открытие лицевого счета</w:t>
      </w:r>
      <w:bookmarkEnd w:id="376"/>
      <w:r/>
      <w:bookmarkEnd w:id="377"/>
      <w:r/>
      <w:bookmarkEnd w:id="378"/>
      <w:r/>
      <w:r/>
    </w:p>
    <w:p>
      <w:pPr>
        <w:pStyle w:val="1284"/>
      </w:pPr>
      <w:r/>
      <w:bookmarkStart w:id="380" w:name="_Toc221869903"/>
      <w:r>
        <w:t xml:space="preserve">Общая информация</w:t>
      </w:r>
      <w:bookmarkEnd w:id="379"/>
      <w:r/>
      <w:bookmarkEnd w:id="380"/>
      <w:r/>
      <w:r/>
    </w:p>
    <w:p>
      <w:pPr>
        <w:pStyle w:val="1306"/>
      </w:pPr>
      <w:r>
        <w:t xml:space="preserve">Возможность открытия лицевого счета в ЛК НСИ ЭБ реализована для следующих типов лицевых счетов: </w:t>
      </w:r>
      <w:r/>
    </w:p>
    <w:p>
      <w:pPr>
        <w:pStyle w:val="1296"/>
      </w:pPr>
      <w:r>
        <w:t xml:space="preserve">01 – лицевой счет главного распорядителя (распорядителя) бюджетных средств;</w:t>
      </w:r>
      <w:r/>
    </w:p>
    <w:p>
      <w:pPr>
        <w:pStyle w:val="1296"/>
      </w:pPr>
      <w:r>
        <w:t xml:space="preserve">02 – лицевой счет бюджета;</w:t>
      </w:r>
      <w:r/>
    </w:p>
    <w:p>
      <w:pPr>
        <w:pStyle w:val="1296"/>
      </w:pPr>
      <w:r>
        <w:t xml:space="preserve">03 – лицевой счет получателя бюджетных средств;</w:t>
      </w:r>
      <w:r/>
    </w:p>
    <w:p>
      <w:pPr>
        <w:pStyle w:val="1296"/>
      </w:pPr>
      <w:r>
        <w:t xml:space="preserve">04 – лицевой счет администратора доходов бюджета;</w:t>
      </w:r>
      <w:r/>
    </w:p>
    <w:p>
      <w:pPr>
        <w:pStyle w:val="1296"/>
      </w:pPr>
      <w:r>
        <w:t xml:space="preserve">05 – лицевой счет для учета операций со средствами, поступающими во временное распоряжение получателя бюджетных средств;</w:t>
      </w:r>
      <w:r/>
    </w:p>
    <w:p>
      <w:pPr>
        <w:pStyle w:val="1296"/>
      </w:pPr>
      <w:r>
        <w:t xml:space="preserve">06 – лицевой счет главного администратора источников внутреннего финансирования дефицита бюджета (администратора источников внутреннего финансирования дефицита бюджета с полномочиями главного администратора);</w:t>
      </w:r>
      <w:r/>
    </w:p>
    <w:p>
      <w:pPr>
        <w:pStyle w:val="1296"/>
      </w:pPr>
      <w:r>
        <w:t xml:space="preserve">07 – лицевой счет главного администратора источников внешнего финансирования дефицита бюджета (администратора источников внешнего финансирования дефицита бюджета с полномочиями главного администратора);</w:t>
      </w:r>
      <w:r/>
    </w:p>
    <w:p>
      <w:pPr>
        <w:pStyle w:val="1296"/>
      </w:pPr>
      <w:r>
        <w:t xml:space="preserve">08 – лицевой счет администратора источников внутреннего финансирования дефицита бюджета;</w:t>
      </w:r>
      <w:r/>
    </w:p>
    <w:p>
      <w:pPr>
        <w:pStyle w:val="1296"/>
      </w:pPr>
      <w:r>
        <w:t xml:space="preserve">09 – лицевой счет администратора источников внешнего финансирования дефицита бюджета;</w:t>
      </w:r>
      <w:r/>
    </w:p>
    <w:p>
      <w:pPr>
        <w:pStyle w:val="1296"/>
      </w:pPr>
      <w:r>
        <w:t xml:space="preserve">10 – лицевой счет иного получателя бюджетных средств;</w:t>
      </w:r>
      <w:r/>
    </w:p>
    <w:p>
      <w:pPr>
        <w:pStyle w:val="1296"/>
      </w:pPr>
      <w:r>
        <w:t xml:space="preserve">14 – лицевой счет для учета операций по переданным полномочиям получателя бюджетных средств;</w:t>
      </w:r>
      <w:r/>
    </w:p>
    <w:p>
      <w:pPr>
        <w:pStyle w:val="1296"/>
      </w:pPr>
      <w:r>
        <w:t xml:space="preserve">20 - лицевой счет бюджетного учреждения;</w:t>
      </w:r>
      <w:r/>
    </w:p>
    <w:p>
      <w:pPr>
        <w:pStyle w:val="1296"/>
      </w:pPr>
      <w:r>
        <w:t xml:space="preserve">21 – отдельный лицевой счет бюджетного учреждения;</w:t>
      </w:r>
      <w:r/>
    </w:p>
    <w:p>
      <w:pPr>
        <w:pStyle w:val="1296"/>
      </w:pPr>
      <w:r>
        <w:t xml:space="preserve">22 – лицевой счет бюджетного учреждения для учета операций со средствами ОМС;</w:t>
      </w:r>
      <w:r/>
    </w:p>
    <w:p>
      <w:pPr>
        <w:pStyle w:val="1296"/>
      </w:pPr>
      <w:r>
        <w:t xml:space="preserve">30 – лицевой счет автономного учреждения;</w:t>
      </w:r>
      <w:r/>
    </w:p>
    <w:p>
      <w:pPr>
        <w:pStyle w:val="1296"/>
      </w:pPr>
      <w:r>
        <w:t xml:space="preserve">31 – отдельный лицевой счет автономного учреждения;</w:t>
      </w:r>
      <w:r/>
    </w:p>
    <w:p>
      <w:pPr>
        <w:pStyle w:val="1296"/>
      </w:pPr>
      <w:r>
        <w:t xml:space="preserve">32 – лицевой счет автономного учреждения для учета операций со средствами ОМС;</w:t>
      </w:r>
      <w:r/>
    </w:p>
    <w:p>
      <w:pPr>
        <w:pStyle w:val="1296"/>
      </w:pPr>
      <w:r>
        <w:t xml:space="preserve">41 – лицевой счет для учета операций получателя средств из бюджета;</w:t>
      </w:r>
      <w:r/>
    </w:p>
    <w:p>
      <w:pPr>
        <w:pStyle w:val="1296"/>
      </w:pPr>
      <w:r>
        <w:t xml:space="preserve">71 – лицевой счет для учета операций участников казначейского сопровождении.</w:t>
      </w:r>
      <w:r/>
    </w:p>
    <w:p>
      <w:pPr>
        <w:pStyle w:val="1305"/>
      </w:pPr>
      <w:r>
        <w:t xml:space="preserve">Открытие лицевого счета ос</w:t>
      </w:r>
      <w:r>
        <w:t xml:space="preserve">уществляется в разделе «Подсистема нормативно-справочной информации» – «Ведение справочников, реестров, классификаторов» – «Книга регистрации лицевых счетов» – «Заявление на изменение справочника «Книги регистрации лицевых счетов» / «Открыть лицевой счет».</w:t>
      </w:r>
      <w:r/>
    </w:p>
    <w:p>
      <w:pPr>
        <w:pStyle w:val="1305"/>
      </w:pPr>
      <w:r>
        <w:t xml:space="preserve">Для открытия лицевого счета формируется Заявление на изменение справочника «Книги регистрации лицевых счетов», тип заявки «Открытие». </w:t>
      </w:r>
      <w:r/>
    </w:p>
    <w:p>
      <w:pPr>
        <w:pStyle w:val="1305"/>
      </w:pPr>
      <w:r>
        <w:t xml:space="preserve">На основании утве</w:t>
      </w:r>
      <w:r>
        <w:t xml:space="preserve">ржденного Заявления на изменение справочника «Книги регистрации лицевых счетов», тип заявки «Открытие» в справочнике «Книга регистрации лицевых счетов» формируется новая запись в статусе «Условно открыт» (в случае открытия отложенной датой) / «Актуальная».</w:t>
      </w:r>
      <w:r/>
    </w:p>
    <w:p>
      <w:pPr>
        <w:pStyle w:val="1305"/>
      </w:pPr>
      <w:r>
        <w:t xml:space="preserve">Для определения значений реквизита ТОФК по месту открытия / обслуживания / нахождения используется спра</w:t>
      </w:r>
      <w:r>
        <w:t xml:space="preserve">вочник «Центры специализации», в соответствии с которым по каждому субъекту РФ и типу открываемого ЛС определена принадлежность к какому-либо ТОФК – Центру специализации. Схемы привязки «Платежный центр – Центр специализации – ТОФК» приведены в приложении </w:t>
      </w:r>
      <w:r>
        <w:fldChar w:fldCharType="begin"/>
      </w:r>
      <w:r>
        <w:instrText xml:space="preserve"> REF _Ref94687225 \h  \* MERGEFORMAT </w:instrText>
      </w:r>
      <w:r>
        <w:fldChar w:fldCharType="separate"/>
      </w:r>
      <w:r>
        <w:t xml:space="preserve">2</w:t>
      </w:r>
      <w:r>
        <w:fldChar w:fldCharType="end"/>
      </w:r>
      <w:r>
        <w:t xml:space="preserve"> настоящего документа.</w:t>
      </w:r>
      <w:r/>
    </w:p>
    <w:p>
      <w:pPr>
        <w:pStyle w:val="1305"/>
      </w:pPr>
      <w:r>
        <w:t xml:space="preserve">Перед началом работы с формуляром «Заявление на изменение справочника «Книга регистрации лицевых счетов» требуется проверить корректность настроек в справочниках «Шаблон согласования заявки» и «Шаблон согласования решения».</w:t>
      </w:r>
      <w:r/>
    </w:p>
    <w:p>
      <w:pPr>
        <w:pStyle w:val="1284"/>
      </w:pPr>
      <w:r/>
      <w:bookmarkStart w:id="381" w:name="_Toc221869904"/>
      <w:r>
        <w:t xml:space="preserve">Формирование заявления на открытие лицевого счета с типом ЛС отличного от «71» в ЛК НСИ</w:t>
      </w:r>
      <w:bookmarkEnd w:id="381"/>
      <w:r/>
      <w:r/>
    </w:p>
    <w:p>
      <w:pPr>
        <w:pStyle w:val="1306"/>
      </w:pPr>
      <w:r>
        <w:t xml:space="preserve">Для создания Заявления на открытие лицевого счета с типом отличным от «71» Пользователь в установленно</w:t>
      </w:r>
      <w:r>
        <w:t xml:space="preserve">м порядке формирует Заявление на закрытие лицевого счета в НСИ ЭБ в виде формуляра «Заявление на изменение справочника «Книга регистрации лицевых счетов» с типом заявки «Открытие» (далее – Заявление на открытие ЛС), необходимо выполнить следующие действия:</w:t>
      </w:r>
      <w:r>
        <w:t xml:space="preserve"> </w:t>
      </w:r>
      <w:r/>
    </w:p>
    <w:p>
      <w:pPr>
        <w:pStyle w:val="1296"/>
      </w:pPr>
      <w:r>
        <w:t xml:space="preserve">зайти в ЛК ЭБ НСИ и перейти в раздел «Подсистема нормативно-справочной информации» – «Ведение справочников, реестров, классификаторов» – «Книга регистрации лицевых счетов» – «Открыть лицевой счет». Откроется списковая форма документа;</w:t>
      </w:r>
      <w:r/>
    </w:p>
    <w:p>
      <w:pPr>
        <w:pStyle w:val="1296"/>
      </w:pPr>
      <w:r>
        <w:t xml:space="preserve">в открывшемся реестре заявок нажать кнопку </w:t>
      </w:r>
      <w:r>
        <mc:AlternateContent>
          <mc:Choice Requires="wpg">
            <w:drawing>
              <wp:inline xmlns:wp="http://schemas.openxmlformats.org/drawingml/2006/wordprocessingDrawing" distT="0" distB="0" distL="0" distR="0">
                <wp:extent cx="314286" cy="295238"/>
                <wp:effectExtent l="0" t="0" r="0" b="0"/>
                <wp:docPr id="19"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3"/>
                        <a:stretch/>
                      </pic:blipFill>
                      <pic:spPr bwMode="auto">
                        <a:xfrm>
                          <a:off x="0" y="0"/>
                          <a:ext cx="314286" cy="29523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24.75pt;height:23.25pt;mso-wrap-distance-left:0.00pt;mso-wrap-distance-top:0.00pt;mso-wrap-distance-right:0.00pt;mso-wrap-distance-bottom:0.00pt;" stroked="false">
                <v:path textboxrect="0,0,0,0"/>
                <v:imagedata r:id="rId33" o:title=""/>
              </v:shape>
            </w:pict>
          </mc:Fallback>
        </mc:AlternateContent>
      </w:r>
      <w:r>
        <w:t xml:space="preserve"> «Создать новый документ»;</w:t>
      </w:r>
      <w:r/>
    </w:p>
    <w:p>
      <w:pPr>
        <w:pStyle w:val="1296"/>
      </w:pPr>
      <w:r>
        <w:t xml:space="preserve">выбрать тип заявки «Открытие»;</w:t>
      </w:r>
      <w:r/>
    </w:p>
    <w:p>
      <w:pPr>
        <w:pStyle w:val="1296"/>
      </w:pPr>
      <w:r>
        <w:t xml:space="preserve">в открывшейся форме заявки заполнить обязательные атрибуты заявки (основная информация о Клиенте заполнена данными о клиенте по Сводному реестру / Реестру ИП, КФХ);</w:t>
      </w:r>
      <w:r/>
    </w:p>
    <w:p>
      <w:pPr>
        <w:pStyle w:val="1307"/>
      </w:pPr>
      <w:r>
        <w:rPr>
          <w:rStyle w:val="1312"/>
        </w:rPr>
        <w:t xml:space="preserve">Примечание.</w:t>
      </w:r>
      <w:r>
        <w:tab/>
        <w:t xml:space="preserve">В случае необходимости, вносятся изменения в блок реквизитов «Сведения о месте нахождения клиента на территории Российской Федерации» в соответствии с фактическим местом ведения финансово-хозяйственной деятельностью.</w:t>
      </w:r>
      <w:r/>
    </w:p>
    <w:p>
      <w:pPr>
        <w:pStyle w:val="1296"/>
      </w:pPr>
      <w:r>
        <w:t xml:space="preserve">заполнить Лист согласования</w:t>
      </w:r>
      <w:r>
        <w:rPr>
          <w:lang w:val="en-US"/>
        </w:rPr>
        <w:t xml:space="preserve">;</w:t>
      </w:r>
      <w:r/>
    </w:p>
    <w:p>
      <w:pPr>
        <w:pStyle w:val="1296"/>
      </w:pPr>
      <w:r>
        <w:t xml:space="preserve">выполнить проверку на прохождение имеющихся контролей (кнопка «Проверить документ»), в случае выявления ошибок, их требуется устранить;</w:t>
      </w:r>
      <w:r/>
    </w:p>
    <w:p>
      <w:pPr>
        <w:pStyle w:val="1296"/>
      </w:pPr>
      <w:r>
        <w:t xml:space="preserve">в форме заявки нажать кнопку «Сохранить и закрыть».</w:t>
      </w:r>
      <w:r/>
    </w:p>
    <w:p>
      <w:pPr>
        <w:pStyle w:val="1305"/>
      </w:pPr>
      <w:r>
        <w:t xml:space="preserve">Заявление на открытие ЛС сохраняется в статусе «Черновик», и оно готово к выполнению дальнейший действий</w:t>
      </w:r>
      <w:r>
        <w:t xml:space="preserve"> (рис. </w:t>
      </w:r>
      <w:r>
        <w:fldChar w:fldCharType="begin"/>
      </w:r>
      <w:r>
        <w:instrText xml:space="preserve"> REF _Ref183508230 \h </w:instrText>
      </w:r>
      <w:r>
        <w:instrText xml:space="preserve"> \* MERGEFORMAT </w:instrText>
      </w:r>
      <w:r>
        <w:fldChar w:fldCharType="separate"/>
      </w:r>
      <w:r>
        <w:t xml:space="preserve">18</w:t>
      </w:r>
      <w:r>
        <w:fldChar w:fldCharType="end"/>
      </w:r>
      <w:r>
        <w:t xml:space="preserve">, рис.</w:t>
      </w:r>
      <w:r>
        <w:t xml:space="preserve"> </w:t>
      </w:r>
      <w:r>
        <w:fldChar w:fldCharType="begin"/>
      </w:r>
      <w:r>
        <w:instrText xml:space="preserve"> REF _Ref183508239 \h </w:instrText>
      </w:r>
      <w:r>
        <w:instrText xml:space="preserve"> \* MERGEFORMAT </w:instrText>
      </w:r>
      <w:r>
        <w:fldChar w:fldCharType="separate"/>
      </w:r>
      <w:r>
        <w:t xml:space="preserve">19</w:t>
      </w:r>
      <w:r>
        <w:fldChar w:fldCharType="end"/>
      </w:r>
      <w:r>
        <w:t xml:space="preserve">). </w:t>
      </w:r>
      <w:r/>
    </w:p>
    <w:p>
      <w:pPr>
        <w:pStyle w:val="1293"/>
      </w:pPr>
      <w:r>
        <mc:AlternateContent>
          <mc:Choice Requires="wpg">
            <w:drawing>
              <wp:inline xmlns:wp="http://schemas.openxmlformats.org/drawingml/2006/wordprocessingDrawing" distT="0" distB="0" distL="0" distR="0">
                <wp:extent cx="5542059" cy="1274823"/>
                <wp:effectExtent l="0" t="0" r="0" b="0"/>
                <wp:docPr id="2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7"/>
                        <a:stretch/>
                      </pic:blipFill>
                      <pic:spPr bwMode="auto">
                        <a:xfrm>
                          <a:off x="0" y="0"/>
                          <a:ext cx="5580904" cy="128375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436.38pt;height:100.38pt;mso-wrap-distance-left:0.00pt;mso-wrap-distance-top:0.00pt;mso-wrap-distance-right:0.00pt;mso-wrap-distance-bottom:0.00pt;" stroked="false">
                <v:path textboxrect="0,0,0,0"/>
                <v:imagedata r:id="rId37" o:title=""/>
              </v:shape>
            </w:pict>
          </mc:Fallback>
        </mc:AlternateContent>
      </w:r>
      <w:r/>
    </w:p>
    <w:p>
      <w:pPr>
        <w:pStyle w:val="1294"/>
      </w:pPr>
      <w:r>
        <w:fldChar w:fldCharType="begin"/>
      </w:r>
      <w:r>
        <w:instrText xml:space="preserve"> SEQ Рисунок \* ARABIC </w:instrText>
      </w:r>
      <w:r>
        <w:fldChar w:fldCharType="separate"/>
      </w:r>
      <w:bookmarkStart w:id="382" w:name="_Ref183508230"/>
      <w:r/>
      <w:bookmarkStart w:id="383" w:name="_Toc163569055"/>
      <w:r/>
      <w:bookmarkStart w:id="384" w:name="_Toc163797833"/>
      <w:r/>
      <w:bookmarkStart w:id="385" w:name="_Toc221869970"/>
      <w:r>
        <w:t xml:space="preserve">18</w:t>
      </w:r>
      <w:bookmarkEnd w:id="382"/>
      <w:r>
        <w:fldChar w:fldCharType="end"/>
      </w:r>
      <w:r>
        <w:t xml:space="preserve">. Списковая форма </w:t>
      </w:r>
      <w:r>
        <w:t xml:space="preserve">Реестра заявлений на изменение Книги регистрации лицевых счетов</w:t>
      </w:r>
      <w:bookmarkEnd w:id="383"/>
      <w:r/>
      <w:bookmarkEnd w:id="384"/>
      <w:r/>
      <w:bookmarkEnd w:id="385"/>
      <w:r/>
      <w:r/>
    </w:p>
    <w:p>
      <w:pPr>
        <w:pStyle w:val="1293"/>
      </w:pPr>
      <w:r>
        <mc:AlternateContent>
          <mc:Choice Requires="wpg">
            <w:drawing>
              <wp:inline xmlns:wp="http://schemas.openxmlformats.org/drawingml/2006/wordprocessingDrawing" distT="0" distB="0" distL="0" distR="0">
                <wp:extent cx="6120130" cy="2721610"/>
                <wp:effectExtent l="0" t="0" r="0" b="0"/>
                <wp:docPr id="2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8"/>
                        <a:stretch/>
                      </pic:blipFill>
                      <pic:spPr bwMode="auto">
                        <a:xfrm>
                          <a:off x="0" y="0"/>
                          <a:ext cx="6120130" cy="272161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481.90pt;height:214.30pt;mso-wrap-distance-left:0.00pt;mso-wrap-distance-top:0.00pt;mso-wrap-distance-right:0.00pt;mso-wrap-distance-bottom:0.00pt;" stroked="false">
                <v:path textboxrect="0,0,0,0"/>
                <v:imagedata r:id="rId38" o:title=""/>
              </v:shape>
            </w:pict>
          </mc:Fallback>
        </mc:AlternateContent>
      </w:r>
      <w:r>
        <mc:AlternateContent>
          <mc:Choice Requires="wpg">
            <w:drawing>
              <wp:inline xmlns:wp="http://schemas.openxmlformats.org/drawingml/2006/wordprocessingDrawing" distT="0" distB="0" distL="0" distR="0">
                <wp:extent cx="6120130" cy="2605405"/>
                <wp:effectExtent l="0" t="0" r="0" b="0"/>
                <wp:docPr id="22"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9"/>
                        <a:stretch/>
                      </pic:blipFill>
                      <pic:spPr bwMode="auto">
                        <a:xfrm>
                          <a:off x="0" y="0"/>
                          <a:ext cx="6120130" cy="26054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481.90pt;height:205.15pt;mso-wrap-distance-left:0.00pt;mso-wrap-distance-top:0.00pt;mso-wrap-distance-right:0.00pt;mso-wrap-distance-bottom:0.00pt;" stroked="false">
                <v:path textboxrect="0,0,0,0"/>
                <v:imagedata r:id="rId39" o:title=""/>
              </v:shape>
            </w:pict>
          </mc:Fallback>
        </mc:AlternateContent>
      </w:r>
      <w:r>
        <mc:AlternateContent>
          <mc:Choice Requires="wpg">
            <w:drawing>
              <wp:inline xmlns:wp="http://schemas.openxmlformats.org/drawingml/2006/wordprocessingDrawing" distT="0" distB="0" distL="0" distR="0">
                <wp:extent cx="6120130" cy="708025"/>
                <wp:effectExtent l="0" t="0" r="0" b="0"/>
                <wp:docPr id="2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0"/>
                        <a:stretch/>
                      </pic:blipFill>
                      <pic:spPr bwMode="auto">
                        <a:xfrm>
                          <a:off x="0" y="0"/>
                          <a:ext cx="6120130" cy="7080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481.90pt;height:55.75pt;mso-wrap-distance-left:0.00pt;mso-wrap-distance-top:0.00pt;mso-wrap-distance-right:0.00pt;mso-wrap-distance-bottom:0.00pt;" stroked="false">
                <v:path textboxrect="0,0,0,0"/>
                <v:imagedata r:id="rId40" o:title=""/>
              </v:shape>
            </w:pict>
          </mc:Fallback>
        </mc:AlternateContent>
      </w:r>
      <w:r/>
    </w:p>
    <w:p>
      <w:pPr>
        <w:pStyle w:val="1294"/>
      </w:pPr>
      <w:r>
        <w:fldChar w:fldCharType="begin"/>
      </w:r>
      <w:r>
        <w:instrText xml:space="preserve"> SEQ Рисунок \* ARABIC </w:instrText>
      </w:r>
      <w:r>
        <w:fldChar w:fldCharType="separate"/>
      </w:r>
      <w:bookmarkStart w:id="386" w:name="_Ref183508239"/>
      <w:r/>
      <w:bookmarkStart w:id="387" w:name="_Toc163569056"/>
      <w:r/>
      <w:bookmarkStart w:id="388" w:name="_Toc163797834"/>
      <w:r/>
      <w:bookmarkStart w:id="389" w:name="_Toc221869971"/>
      <w:r>
        <w:t xml:space="preserve">19</w:t>
      </w:r>
      <w:bookmarkEnd w:id="386"/>
      <w:r>
        <w:fldChar w:fldCharType="end"/>
      </w:r>
      <w:r>
        <w:t xml:space="preserve">. </w:t>
      </w:r>
      <w:r>
        <w:t xml:space="preserve">Заявление</w:t>
      </w:r>
      <w:r>
        <w:t xml:space="preserve"> на создание/изменение записи справочника Книги регистрации лицевых счетов</w:t>
      </w:r>
      <w:bookmarkEnd w:id="387"/>
      <w:r/>
      <w:bookmarkEnd w:id="388"/>
      <w:r/>
      <w:bookmarkEnd w:id="389"/>
      <w:r/>
      <w:r/>
    </w:p>
    <w:p>
      <w:pPr>
        <w:pStyle w:val="1305"/>
      </w:pPr>
      <w:r>
        <w:t xml:space="preserve">Далее его необходимо направить на согласование, согласовать и утвердить </w:t>
      </w:r>
      <w:r>
        <w:t xml:space="preserve">(см. п. </w:t>
      </w:r>
      <w:r>
        <w:t xml:space="preserve">4.2.6</w:t>
      </w:r>
      <w:r>
        <w:t xml:space="preserve">).</w:t>
      </w:r>
      <w:r/>
    </w:p>
    <w:p>
      <w:pPr>
        <w:pStyle w:val="1284"/>
      </w:pPr>
      <w:r/>
      <w:bookmarkStart w:id="390" w:name="_Toc221869905"/>
      <w:r>
        <w:t xml:space="preserve">Формирование заявления на открытие лицевого счета с типом ЛС «71» для ранее зарезервированного лицевого счета в ЛК НСИ</w:t>
      </w:r>
      <w:bookmarkEnd w:id="390"/>
      <w:r/>
      <w:r/>
    </w:p>
    <w:p>
      <w:pPr>
        <w:pStyle w:val="1306"/>
      </w:pPr>
      <w:r>
        <w:t xml:space="preserve">Для создания Заявления на открытие лицевого счета с типом «71», для ранее зарезервированного лицевого счета, Пользователь в установленно</w:t>
      </w:r>
      <w:r>
        <w:t xml:space="preserve">м порядке формирует Заявление на закрытие лицевого счета в НСИ ЭБ в виде формуляра «Заявление на изменение справочника «Книга регистрации лицевых счетов» с типом заявки «Открытие» (далее – Заявление на открытие ЛС), необходимо выполнить следующие действия:</w:t>
      </w:r>
      <w:r/>
    </w:p>
    <w:p>
      <w:pPr>
        <w:pStyle w:val="1296"/>
      </w:pPr>
      <w:r>
        <w:t xml:space="preserve">убедиться в наличии ранее зарезервированного счета в конечном статусе (см. п.</w:t>
      </w:r>
      <w:r>
        <w:t xml:space="preserve">4.2.4.2</w:t>
      </w:r>
      <w:r>
        <w:t xml:space="preserve">);</w:t>
      </w:r>
      <w:r/>
    </w:p>
    <w:p>
      <w:pPr>
        <w:pStyle w:val="1296"/>
      </w:pPr>
      <w:r>
        <w:t xml:space="preserve">зайти в ЛК ЭБ НСИ и перейти в раздел «Подсистема нормативно-справочной информации» – «Ведение справочников, реестров, классификаторов» – «Книга регистрации лицевых счетов» – «Открыть лицевой счет». Откроется списковая форма документа;</w:t>
      </w:r>
      <w:r/>
    </w:p>
    <w:p>
      <w:pPr>
        <w:pStyle w:val="1296"/>
      </w:pPr>
      <w:r>
        <w:t xml:space="preserve">в открывшемся реестре заявок нажать кнопку </w:t>
      </w:r>
      <w:r>
        <mc:AlternateContent>
          <mc:Choice Requires="wpg">
            <w:drawing>
              <wp:inline xmlns:wp="http://schemas.openxmlformats.org/drawingml/2006/wordprocessingDrawing" distT="0" distB="0" distL="0" distR="0">
                <wp:extent cx="314286" cy="295238"/>
                <wp:effectExtent l="0" t="0" r="0" b="0"/>
                <wp:docPr id="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3"/>
                        <a:stretch/>
                      </pic:blipFill>
                      <pic:spPr bwMode="auto">
                        <a:xfrm>
                          <a:off x="0" y="0"/>
                          <a:ext cx="314286" cy="29523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24.75pt;height:23.25pt;mso-wrap-distance-left:0.00pt;mso-wrap-distance-top:0.00pt;mso-wrap-distance-right:0.00pt;mso-wrap-distance-bottom:0.00pt;" stroked="false">
                <v:path textboxrect="0,0,0,0"/>
                <v:imagedata r:id="rId33" o:title=""/>
              </v:shape>
            </w:pict>
          </mc:Fallback>
        </mc:AlternateContent>
      </w:r>
      <w:r>
        <w:t xml:space="preserve"> «Создать новый документ»;</w:t>
      </w:r>
      <w:r/>
    </w:p>
    <w:p>
      <w:pPr>
        <w:pStyle w:val="1296"/>
      </w:pPr>
      <w:r>
        <w:t xml:space="preserve">выбрать тип заявки «Открытие»;</w:t>
      </w:r>
      <w:r/>
    </w:p>
    <w:p>
      <w:pPr>
        <w:pStyle w:val="1296"/>
      </w:pPr>
      <w:r>
        <w:t xml:space="preserve">в реквизите «Номер лицевого счета» выбором из справочника «Книга регистрации лицевых счетов» выбрать ранее зарезервированный лицевой счет;</w:t>
      </w:r>
      <w:r/>
    </w:p>
    <w:p>
      <w:pPr>
        <w:pStyle w:val="1307"/>
      </w:pPr>
      <w:r>
        <w:rPr>
          <w:rStyle w:val="1312"/>
        </w:rPr>
        <w:t xml:space="preserve">Примечание.</w:t>
      </w:r>
      <w:r>
        <w:tab/>
        <w:t xml:space="preserve">После выбора номера лицевого счета основная информация по Заявке на открытие ЛС будет заполнена данными о клиенте по Сводному реестру / Реестру ИП</w:t>
      </w:r>
      <w:r>
        <w:t xml:space="preserve">, КФХ и заявлению на резервирование ЛС. В случае необходимости, вносятся изменения в блок реквизитов «Сведения о месте нахождения клиента на территории Российской Федерации» в соответствии с фактическим местом ведения финансово-хозяйственной деятельностью.</w:t>
      </w:r>
      <w:r/>
    </w:p>
    <w:p>
      <w:pPr>
        <w:pStyle w:val="1296"/>
      </w:pPr>
      <w:r>
        <w:t xml:space="preserve">в открывшейся форме заявки заполнить обязательные атрибуты заявки;</w:t>
      </w:r>
      <w:r/>
    </w:p>
    <w:p>
      <w:pPr>
        <w:pStyle w:val="1296"/>
      </w:pPr>
      <w:r>
        <w:t xml:space="preserve">на вкладке «Вложения» добавить скан-копию документа-основания для открытия счета, указав его тип, номер и дату документа или заполнить реквизит «Ссылка на документ-основание» на вкладке «Основная информация» раздел «Основание для открытия лицевого счета»;</w:t>
      </w:r>
      <w:r/>
    </w:p>
    <w:p>
      <w:pPr>
        <w:pStyle w:val="1296"/>
      </w:pPr>
      <w:r>
        <w:t xml:space="preserve">заполнить Лист согласования</w:t>
      </w:r>
      <w:r>
        <w:rPr>
          <w:lang w:val="en-US"/>
        </w:rPr>
        <w:t xml:space="preserve">;</w:t>
      </w:r>
      <w:r/>
    </w:p>
    <w:p>
      <w:pPr>
        <w:pStyle w:val="1296"/>
      </w:pPr>
      <w:r>
        <w:t xml:space="preserve">выполнить проверку на прохождение имеющихся контролей (кнопка «Проверить документ»), в случае выявления ошибок, их требуется устранить;</w:t>
      </w:r>
      <w:r/>
    </w:p>
    <w:p>
      <w:pPr>
        <w:pStyle w:val="1296"/>
        <w:numPr>
          <w:ilvl w:val="0"/>
          <w:numId w:val="0"/>
        </w:numPr>
        <w:ind w:left="851" w:hanging="284"/>
      </w:pPr>
      <w:r>
        <w:t xml:space="preserve">в форме заявки нажать кнопку «Сохранить и закрыть».</w:t>
      </w:r>
      <w:r/>
    </w:p>
    <w:p>
      <w:pPr>
        <w:pStyle w:val="1305"/>
      </w:pPr>
      <w:r>
        <w:t xml:space="preserve">Заявление на открытие ЛС сохраняется в статусе «Черновик», и оно готово к выполнению дальнейший действий. Далее его необходимо направить на согласование, согласовать и утвердить </w:t>
      </w:r>
      <w:r>
        <w:t xml:space="preserve">(см. п.</w:t>
      </w:r>
      <w:r>
        <w:t xml:space="preserve"> </w:t>
      </w:r>
      <w:r>
        <w:t xml:space="preserve">4.2.6</w:t>
      </w:r>
      <w:r>
        <w:t xml:space="preserve">).</w:t>
      </w:r>
      <w:r/>
    </w:p>
    <w:p>
      <w:pPr>
        <w:pStyle w:val="1284"/>
      </w:pPr>
      <w:r/>
      <w:bookmarkStart w:id="391" w:name="_Toc221869906"/>
      <w:r>
        <w:t xml:space="preserve">Формирование заявления на открытие лицевого счета с типом ЛС «71» в ЛК НСИ</w:t>
      </w:r>
      <w:bookmarkEnd w:id="391"/>
      <w:r/>
      <w:r/>
    </w:p>
    <w:p>
      <w:pPr>
        <w:pStyle w:val="1306"/>
      </w:pPr>
      <w:r>
        <w:t xml:space="preserve">Для создания Заявления на открытие лицевого счета с типом «71» Пользователь в установленно</w:t>
      </w:r>
      <w:r>
        <w:t xml:space="preserve">м порядке формирует Заявление на закрытие лицевого счета в НСИ ЭБ в виде формуляра «Заявление на изменение справочника «Книга регистрации лицевых счетов» с типом заявки «Открытие» (далее – Заявление на открытие ЛС), необходимо выполнить следующие действия:</w:t>
      </w:r>
      <w:r/>
    </w:p>
    <w:p>
      <w:pPr>
        <w:pStyle w:val="1296"/>
      </w:pPr>
      <w:r>
        <w:t xml:space="preserve">зайти в ЛК ЭБ НСИ и перейти в раздел «Подсистема нормативно-справочной информации» – «Ведение справочников, реестров, классификаторов» – «Книга регистрации лицевых счетов» – «Открыть лицевой счет». Откроется списковая форма документа;</w:t>
      </w:r>
      <w:r/>
    </w:p>
    <w:p>
      <w:pPr>
        <w:pStyle w:val="1296"/>
      </w:pPr>
      <w:r>
        <w:t xml:space="preserve">в открывшемся реестре заявок нажать кнопку </w:t>
      </w:r>
      <w:r>
        <mc:AlternateContent>
          <mc:Choice Requires="wpg">
            <w:drawing>
              <wp:inline xmlns:wp="http://schemas.openxmlformats.org/drawingml/2006/wordprocessingDrawing" distT="0" distB="0" distL="0" distR="0">
                <wp:extent cx="314286" cy="295238"/>
                <wp:effectExtent l="0" t="0" r="0" b="0"/>
                <wp:docPr id="25"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3"/>
                        <a:stretch/>
                      </pic:blipFill>
                      <pic:spPr bwMode="auto">
                        <a:xfrm>
                          <a:off x="0" y="0"/>
                          <a:ext cx="314286" cy="29523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24.75pt;height:23.25pt;mso-wrap-distance-left:0.00pt;mso-wrap-distance-top:0.00pt;mso-wrap-distance-right:0.00pt;mso-wrap-distance-bottom:0.00pt;" stroked="false">
                <v:path textboxrect="0,0,0,0"/>
                <v:imagedata r:id="rId33" o:title=""/>
              </v:shape>
            </w:pict>
          </mc:Fallback>
        </mc:AlternateContent>
      </w:r>
      <w:r>
        <w:t xml:space="preserve"> «Создать новый документ»;</w:t>
      </w:r>
      <w:r/>
    </w:p>
    <w:p>
      <w:pPr>
        <w:pStyle w:val="1296"/>
      </w:pPr>
      <w:r>
        <w:t xml:space="preserve">выбрать тип заявки «Открытие»;</w:t>
      </w:r>
      <w:r/>
    </w:p>
    <w:p>
      <w:pPr>
        <w:pStyle w:val="1296"/>
      </w:pPr>
      <w:r>
        <w:t xml:space="preserve">в открывшейся форме заявки заполнить обязательные атрибуты заявки (основная информация о Клиенте заполнена данными о клиенте по Сводному реестру / Реестру ИП, КФХ);</w:t>
      </w:r>
      <w:r/>
    </w:p>
    <w:p>
      <w:pPr>
        <w:pStyle w:val="1307"/>
      </w:pPr>
      <w:r>
        <w:rPr>
          <w:rStyle w:val="1312"/>
        </w:rPr>
        <w:t xml:space="preserve">Примечание.</w:t>
      </w:r>
      <w:r>
        <w:tab/>
        <w:t xml:space="preserve">В случае необходимости, вносятся изменения в блок реквизитов «Сведения о месте нахождения клиента на территории Российской Федерации» в соответствии с фактическим местом ведения финансово-хозяйственной деятельностью.</w:t>
      </w:r>
      <w:r/>
    </w:p>
    <w:p>
      <w:pPr>
        <w:pStyle w:val="1296"/>
      </w:pPr>
      <w:r>
        <w:t xml:space="preserve">заполнить Лист согласования</w:t>
      </w:r>
      <w:r>
        <w:rPr>
          <w:lang w:val="en-US"/>
        </w:rPr>
        <w:t xml:space="preserve">;</w:t>
      </w:r>
      <w:r/>
    </w:p>
    <w:p>
      <w:pPr>
        <w:pStyle w:val="1296"/>
      </w:pPr>
      <w:r>
        <w:t xml:space="preserve">выполнить проверку на прохождение имеющихся контролей (кнопка «Проверить документ»), в случае выявления ошибок, их требуется устранить;</w:t>
      </w:r>
      <w:r/>
    </w:p>
    <w:p>
      <w:pPr>
        <w:pStyle w:val="1296"/>
      </w:pPr>
      <w:r>
        <w:t xml:space="preserve">в форме заявки нажать кнопку «Сохранить и закрыть».</w:t>
      </w:r>
      <w:r/>
    </w:p>
    <w:p>
      <w:pPr>
        <w:pStyle w:val="1305"/>
      </w:pPr>
      <w:r>
        <w:t xml:space="preserve">Заявление на открытие ЛС сохраняется в статусе «Черновик», и оно готово к выполнению дальнейший действий. Далее его необходимо направить на согласование, согласовать и утвердить </w:t>
      </w:r>
      <w:r>
        <w:t xml:space="preserve">(см. п</w:t>
      </w:r>
      <w:r>
        <w:t xml:space="preserve">.4.2.6</w:t>
      </w:r>
      <w:r>
        <w:t xml:space="preserve">).</w:t>
      </w:r>
      <w:r/>
    </w:p>
    <w:p>
      <w:pPr>
        <w:pStyle w:val="1283"/>
      </w:pPr>
      <w:r/>
      <w:bookmarkStart w:id="392" w:name="_Toc216437527"/>
      <w:r/>
      <w:bookmarkStart w:id="393" w:name="_Toc221869907"/>
      <w:r>
        <w:t xml:space="preserve">Создание заявления на закрытие лицевого счета</w:t>
      </w:r>
      <w:bookmarkEnd w:id="392"/>
      <w:r/>
      <w:bookmarkEnd w:id="393"/>
      <w:r/>
      <w:r/>
    </w:p>
    <w:p>
      <w:pPr>
        <w:pStyle w:val="1284"/>
      </w:pPr>
      <w:r/>
      <w:bookmarkStart w:id="394" w:name="_Toc221869908"/>
      <w:r>
        <w:t xml:space="preserve">Общая информация</w:t>
      </w:r>
      <w:bookmarkEnd w:id="394"/>
      <w:r/>
      <w:r/>
    </w:p>
    <w:p>
      <w:pPr>
        <w:pStyle w:val="1305"/>
      </w:pPr>
      <w:r>
        <w:t xml:space="preserve">Закрытие записи справочника «Книга регис</w:t>
      </w:r>
      <w:r>
        <w:t xml:space="preserve">трации лицевых счетов» осуществляется в разделе «Подсистема нормативно-справочной информации» – «Ведение справочников, реестров, классификаторов» – «Книга регистрации лицевых счетов» – «Заявление на изменение справочника «Книги регистрации лицевых счетов» </w:t>
      </w:r>
      <w:r>
        <w:t xml:space="preserve">/</w:t>
      </w:r>
      <w:r>
        <w:t xml:space="preserve"> «Открыть лицевой счет». </w:t>
      </w:r>
      <w:r/>
    </w:p>
    <w:p>
      <w:pPr>
        <w:pStyle w:val="1305"/>
      </w:pPr>
      <w:r>
        <w:t xml:space="preserve">Для закрытия лицевого формируется Заявление на изменение справочника «Книги регистрации лицевых счетов», тип заявки «Закрытие». </w:t>
      </w:r>
      <w:r/>
    </w:p>
    <w:p>
      <w:pPr>
        <w:pStyle w:val="1305"/>
      </w:pPr>
      <w:r>
        <w:t xml:space="preserve">Возможность Закрытия лицевого счета реализована для всех типов лицевого счета, записи которых есть в справочнике «Книга регистрации лицевых счетов».</w:t>
      </w:r>
      <w:r/>
    </w:p>
    <w:p>
      <w:pPr>
        <w:pStyle w:val="1305"/>
      </w:pPr>
      <w:r>
        <w:t xml:space="preserve">Закрытие записи справочника «Книга регистрации лицевых счетов» осуществляется в случаях, предусмотренных НПА (Приказ Федерального казначейства от 17 октября 2016 г. № 21н, Приказ Федерального казначейства от 22 декабря 2021 г. № 44н). </w:t>
      </w:r>
      <w:r/>
    </w:p>
    <w:p>
      <w:pPr>
        <w:pStyle w:val="1305"/>
      </w:pPr>
      <w:r/>
      <w:r/>
    </w:p>
    <w:p>
      <w:pPr>
        <w:pStyle w:val="1305"/>
      </w:pPr>
      <w:r>
        <w:t xml:space="preserve">На основании утвержденного Заявления на изменение справочника «Книги регистрации лицевых счетов», тип заявки «Закрытие» в справочнике «Книга регистрации лицевых счетов» формируется новая запись в статусе «Условно исключена».</w:t>
      </w:r>
      <w:r/>
    </w:p>
    <w:p>
      <w:pPr>
        <w:pStyle w:val="1306"/>
      </w:pPr>
      <w:r>
        <w:t xml:space="preserve">Лицевые счета клиентов закрываются при отсутствии учетных показателей, в НСИ ЭБ ожидается поступление информации от подсистемы, осуществляющей ведение ЛС: </w:t>
      </w:r>
      <w:r/>
    </w:p>
    <w:p>
      <w:pPr>
        <w:pStyle w:val="1296"/>
      </w:pPr>
      <w:r>
        <w:t xml:space="preserve">в случае если тип лицевого счета ≠71, то лицевой счет будет закрыт после прихода документа «Сообщение о прекращении операций по лицевому счету»;</w:t>
      </w:r>
      <w:r/>
    </w:p>
    <w:p>
      <w:pPr>
        <w:pStyle w:val="1296"/>
      </w:pPr>
      <w:r>
        <w:t xml:space="preserve">в случае если тип лицевого счета =71, то лицевой счет будет закрыт после закрытия всех Разделов лицевого счета. </w:t>
      </w:r>
      <w:r/>
    </w:p>
    <w:p>
      <w:pPr>
        <w:pStyle w:val="1305"/>
      </w:pPr>
      <w:r>
        <w:t xml:space="preserve">В результате успешной обработки поступившей от подсистемы информации в справочнике «Книга регистрации лицевых счетов» формируется новая запись в статусе «Закрыт».</w:t>
      </w:r>
      <w:r/>
    </w:p>
    <w:p>
      <w:pPr>
        <w:pStyle w:val="1284"/>
      </w:pPr>
      <w:r/>
      <w:bookmarkStart w:id="395" w:name="_Toc216437529"/>
      <w:r/>
      <w:bookmarkStart w:id="396" w:name="_Toc221869909"/>
      <w:r>
        <w:t xml:space="preserve">Формирование заявления на закрытие лицевого счета в ЛК НСИ»</w:t>
      </w:r>
      <w:bookmarkEnd w:id="395"/>
      <w:r/>
      <w:bookmarkEnd w:id="396"/>
      <w:r/>
      <w:r/>
    </w:p>
    <w:p>
      <w:pPr>
        <w:pStyle w:val="1306"/>
      </w:pPr>
      <w:r/>
      <w:bookmarkStart w:id="397" w:name="_Hlk216438900"/>
      <w:r>
        <w:t xml:space="preserve">Для создания Заявления на закрытие лицевого счета Пользователь в установленно</w:t>
      </w:r>
      <w:r>
        <w:t xml:space="preserve">м порядке формирует Заявление на закрытие лицевого счета в НСИ ЭБ в виде формуляра «Заявление на изменение справочника «Книга регистрации лицевых счетов» с типом заявки «Закрытие» (далее – Заявление на закрытие ЛС), необходимо выполнить следующие действия:</w:t>
      </w:r>
      <w:bookmarkEnd w:id="397"/>
      <w:r>
        <w:t xml:space="preserve"> </w:t>
      </w:r>
      <w:r/>
    </w:p>
    <w:p>
      <w:pPr>
        <w:pStyle w:val="1296"/>
      </w:pPr>
      <w:r>
        <w:t xml:space="preserve">зайти в ЛК ЭБ НСИ и перейти в раздел «Подсистема нормативно-справочной информации» – «Ведение справочников, реестров, классификаторов» – «Книга регистрации лицевых счетов» – «Открыть лицевой счет». Откроется списковая форма документа;</w:t>
      </w:r>
      <w:r/>
    </w:p>
    <w:p>
      <w:pPr>
        <w:pStyle w:val="1296"/>
      </w:pPr>
      <w:r>
        <w:t xml:space="preserve">в открывшемся реестре заявок нажать кнопку </w:t>
      </w:r>
      <w:r>
        <mc:AlternateContent>
          <mc:Choice Requires="wpg">
            <w:drawing>
              <wp:inline xmlns:wp="http://schemas.openxmlformats.org/drawingml/2006/wordprocessingDrawing" distT="0" distB="0" distL="0" distR="0">
                <wp:extent cx="314286" cy="295238"/>
                <wp:effectExtent l="0" t="0" r="0" b="0"/>
                <wp:docPr id="26"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3"/>
                        <a:stretch/>
                      </pic:blipFill>
                      <pic:spPr bwMode="auto">
                        <a:xfrm>
                          <a:off x="0" y="0"/>
                          <a:ext cx="314286" cy="29523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24.75pt;height:23.25pt;mso-wrap-distance-left:0.00pt;mso-wrap-distance-top:0.00pt;mso-wrap-distance-right:0.00pt;mso-wrap-distance-bottom:0.00pt;" stroked="false">
                <v:path textboxrect="0,0,0,0"/>
                <v:imagedata r:id="rId33" o:title=""/>
              </v:shape>
            </w:pict>
          </mc:Fallback>
        </mc:AlternateContent>
      </w:r>
      <w:r>
        <w:t xml:space="preserve"> «Создать новый документ»;</w:t>
      </w:r>
      <w:r/>
    </w:p>
    <w:p>
      <w:pPr>
        <w:pStyle w:val="1296"/>
      </w:pPr>
      <w:r>
        <w:t xml:space="preserve">выбрать тип заявки «Закрытие»;</w:t>
      </w:r>
      <w:r/>
    </w:p>
    <w:p>
      <w:pPr>
        <w:pStyle w:val="1296"/>
      </w:pPr>
      <w:r>
        <w:t xml:space="preserve">заполнить «Номер лицевого счета», выбором из справочника «Книга регистрации лицевых счетов»;</w:t>
      </w:r>
      <w:r/>
    </w:p>
    <w:p>
      <w:pPr>
        <w:pStyle w:val="1296"/>
      </w:pPr>
      <w:r>
        <w:t xml:space="preserve">в открывшейся форме заявки заполнить все обязательные атрибуты;</w:t>
      </w:r>
      <w:r/>
    </w:p>
    <w:p>
      <w:pPr>
        <w:pStyle w:val="1296"/>
      </w:pPr>
      <w:r>
        <w:t xml:space="preserve">заполнить блок реквизитов «Основания для закрытия лицевого счета», а именно реквизиты: «В связи с», «Наименование документа», «Номер документа», «Дата документа»;</w:t>
      </w:r>
      <w:r/>
    </w:p>
    <w:p>
      <w:pPr>
        <w:pStyle w:val="1296"/>
      </w:pPr>
      <w:r>
        <w:t xml:space="preserve">в случае необх</w:t>
      </w:r>
      <w:r>
        <w:t xml:space="preserve">одимости заполнить блок реквизитов «Реквизиты для перечисления средств, поступивших после закрытия лицевого счета», а именно реквизиты: «Номер банковского счета», «Наименование банка», «БИК», «Корреспондентский счет», «Номер Лицевого счета правопреемника»;</w:t>
      </w:r>
      <w:r/>
    </w:p>
    <w:p>
      <w:pPr>
        <w:pStyle w:val="1296"/>
      </w:pPr>
      <w:r/>
      <w:bookmarkStart w:id="398" w:name="_Hlk216438977"/>
      <w:r>
        <w:t xml:space="preserve">заполнить </w:t>
      </w:r>
      <w:r>
        <w:t xml:space="preserve">Лист согласования</w:t>
      </w:r>
      <w:r>
        <w:t xml:space="preserve">;</w:t>
      </w:r>
      <w:r/>
    </w:p>
    <w:p>
      <w:pPr>
        <w:pStyle w:val="1296"/>
      </w:pPr>
      <w:r>
        <w:t xml:space="preserve">выполнить проверку на прохождение имеющихся контролей (кнопка «Проверить документ»), в случае выявления ошибок, </w:t>
      </w:r>
      <w:r>
        <w:t xml:space="preserve">их </w:t>
      </w:r>
      <w:r>
        <w:t xml:space="preserve">требуется устранить;</w:t>
      </w:r>
      <w:bookmarkEnd w:id="398"/>
      <w:r/>
    </w:p>
    <w:p>
      <w:pPr>
        <w:pStyle w:val="1296"/>
      </w:pPr>
      <w:r>
        <w:t xml:space="preserve">в форме заявки нажать кнопку «Сохранить и закрыть».</w:t>
      </w:r>
      <w:r/>
    </w:p>
    <w:p>
      <w:pPr>
        <w:pStyle w:val="1305"/>
      </w:pPr>
      <w:r>
        <w:t xml:space="preserve">Заявлени</w:t>
      </w:r>
      <w:r>
        <w:t xml:space="preserve">е</w:t>
      </w:r>
      <w:r>
        <w:t xml:space="preserve"> на закрытие ЛС </w:t>
      </w:r>
      <w:r>
        <w:t xml:space="preserve">сохраняется в статусе </w:t>
      </w:r>
      <w:r>
        <w:t xml:space="preserve">«Черновик», и оно готово к выполнению дальнейший действий. </w:t>
      </w:r>
      <w:r>
        <w:t xml:space="preserve">Далее</w:t>
      </w:r>
      <w:r>
        <w:t xml:space="preserve"> необходимо направить на согласование, согласовать и утвердить </w:t>
      </w:r>
      <w:r>
        <w:t xml:space="preserve">(см. п.</w:t>
      </w:r>
      <w:r>
        <w:t xml:space="preserve">4.2.6</w:t>
      </w:r>
      <w:r>
        <w:t xml:space="preserve">).</w:t>
      </w:r>
      <w:r/>
    </w:p>
    <w:p>
      <w:pPr>
        <w:pStyle w:val="1284"/>
      </w:pPr>
      <w:r/>
      <w:bookmarkStart w:id="399" w:name="_Toc196911694"/>
      <w:r/>
      <w:bookmarkStart w:id="400" w:name="_Toc196911793"/>
      <w:r/>
      <w:bookmarkStart w:id="401" w:name="_Toc221869910"/>
      <w:r>
        <w:t xml:space="preserve">Причины закрытия лицевых счетов по НПА</w:t>
      </w:r>
      <w:bookmarkEnd w:id="399"/>
      <w:r/>
      <w:bookmarkEnd w:id="400"/>
      <w:r/>
      <w:bookmarkEnd w:id="401"/>
      <w:r/>
      <w:r/>
    </w:p>
    <w:p>
      <w:pPr>
        <w:pStyle w:val="1306"/>
      </w:pPr>
      <w:r>
        <w:t xml:space="preserve">Закрытие записи справочника «Книга регистрации лицевых счетов» осуществляется в случаях, предусмотренных НПА, реализованы следующие причины закрытия лицевых счетов:</w:t>
      </w:r>
      <w:r/>
    </w:p>
    <w:p>
      <w:pPr>
        <w:pStyle w:val="1467"/>
        <w:numPr>
          <w:ilvl w:val="0"/>
          <w:numId w:val="140"/>
        </w:numPr>
      </w:pPr>
      <w:r>
        <w:t xml:space="preserve">Приказ Федерального казначейства от 17 октября 2016 г. № 21н:</w:t>
      </w:r>
      <w:r/>
    </w:p>
    <w:p>
      <w:pPr>
        <w:pStyle w:val="1296"/>
      </w:pPr>
      <w:r>
        <w:t xml:space="preserve">L1 – реорганизацией (ликвидацией) клиента;</w:t>
      </w:r>
      <w:r/>
    </w:p>
    <w:p>
      <w:pPr>
        <w:pStyle w:val="1296"/>
      </w:pPr>
      <w:r>
        <w:t xml:space="preserve">L2 – реорганизацией (ликвидацией) органа Федерального казначейства, открывшего лицевой счет клиента;</w:t>
      </w:r>
      <w:r/>
    </w:p>
    <w:p>
      <w:pPr>
        <w:pStyle w:val="1296"/>
      </w:pPr>
      <w:r>
        <w:t xml:space="preserve">L3 – переводом клиента на обслуживание в другой орган Федерального казначейства;</w:t>
      </w:r>
      <w:r/>
    </w:p>
    <w:p>
      <w:pPr>
        <w:pStyle w:val="1296"/>
      </w:pPr>
      <w:r>
        <w:t xml:space="preserve">L4 – изменением типа учреждения;</w:t>
      </w:r>
      <w:r/>
    </w:p>
    <w:p>
      <w:pPr>
        <w:pStyle w:val="1296"/>
      </w:pPr>
      <w:r>
        <w:t xml:space="preserve">L5 – изменением подведомственности клиента;</w:t>
      </w:r>
      <w:r/>
    </w:p>
    <w:p>
      <w:pPr>
        <w:pStyle w:val="1296"/>
      </w:pPr>
      <w:r>
        <w:t xml:space="preserve">L6 – отменой бюджетных полномочий клиента для отражения операций, по выполнению которых открывался лицевой счет;</w:t>
      </w:r>
      <w:r/>
    </w:p>
    <w:p>
      <w:pPr>
        <w:pStyle w:val="1296"/>
      </w:pPr>
      <w:r>
        <w:t xml:space="preserve">L7 – убытием клиента с места временной дислокации на место постоянного нахождения;</w:t>
      </w:r>
      <w:r/>
    </w:p>
    <w:p>
      <w:pPr>
        <w:pStyle w:val="1296"/>
      </w:pPr>
      <w:r>
        <w:t xml:space="preserve">L8 – иными случаями, предусмотренными бюджетным законодательством Российской Федерации;</w:t>
      </w:r>
      <w:r/>
    </w:p>
    <w:p>
      <w:pPr>
        <w:pStyle w:val="1296"/>
      </w:pPr>
      <w:r>
        <w:t xml:space="preserve">L9 – изменением порядка казначейского обслуживания.</w:t>
      </w:r>
      <w:r/>
    </w:p>
    <w:p>
      <w:pPr>
        <w:pStyle w:val="1467"/>
      </w:pPr>
      <w:r>
        <w:t xml:space="preserve">Приказ Федерального казначейства от 22 декабря 2021 г. № 44н</w:t>
      </w:r>
      <w:r/>
    </w:p>
    <w:p>
      <w:pPr>
        <w:pStyle w:val="1296"/>
      </w:pPr>
      <w:r>
        <w:t xml:space="preserve">R1 – реорганизацией (ликвидацией, исключением из ЕГРЮЛ) юридического лица, прекращения деятельности индивидуального предпринимателя;</w:t>
      </w:r>
      <w:r/>
    </w:p>
    <w:p>
      <w:pPr>
        <w:pStyle w:val="1296"/>
      </w:pPr>
      <w:r>
        <w:t xml:space="preserve">R2 – исполнением (расторжением) государственного (муниципального) контракта, договора (соглашения), контракта (договора), на основании которых открыты разделы на лицевом счете, и (или) отсутствия операций на лицевом счете в течение двух лет;</w:t>
      </w:r>
      <w:r/>
    </w:p>
    <w:p>
      <w:pPr>
        <w:pStyle w:val="1296"/>
      </w:pPr>
      <w:r>
        <w:t xml:space="preserve">R3 – изменением структуры номера лицевого счета клиента;</w:t>
      </w:r>
      <w:r/>
    </w:p>
    <w:p>
      <w:pPr>
        <w:pStyle w:val="1296"/>
      </w:pPr>
      <w:r>
        <w:t xml:space="preserve">R4 – переводом клиента на обслуживание в другой территориальный орган ФК;</w:t>
      </w:r>
      <w:r/>
    </w:p>
    <w:p>
      <w:pPr>
        <w:pStyle w:val="1296"/>
      </w:pPr>
      <w:r>
        <w:t xml:space="preserve">R5 – реорганизацией (ликвидацией, исключением из ЕГРЮЛ) органа Федерального казначейства, открывшего лицевой счет клиенту;</w:t>
      </w:r>
      <w:r/>
    </w:p>
    <w:p>
      <w:pPr>
        <w:pStyle w:val="1296"/>
      </w:pPr>
      <w:r>
        <w:t xml:space="preserve">R6 – иными случаями, предусмотренными законодательством Российской Федерации и иными нормативными правовыми актами Российской Федерации;</w:t>
      </w:r>
      <w:r/>
    </w:p>
    <w:p>
      <w:pPr>
        <w:pStyle w:val="1296"/>
      </w:pPr>
      <w:r>
        <w:t xml:space="preserve">R7 – изменением типа учреждения.</w:t>
      </w:r>
      <w:r/>
    </w:p>
    <w:p>
      <w:pPr>
        <w:pStyle w:val="1283"/>
      </w:pPr>
      <w:r/>
      <w:bookmarkStart w:id="402" w:name="_Ref522102079"/>
      <w:r/>
      <w:bookmarkStart w:id="403" w:name="_Ref522102085"/>
      <w:r/>
      <w:bookmarkStart w:id="404" w:name="_Ref522102103"/>
      <w:r/>
      <w:bookmarkStart w:id="405" w:name="_Toc216437531"/>
      <w:r/>
      <w:bookmarkStart w:id="406" w:name="_Toc221869911"/>
      <w:r>
        <w:t xml:space="preserve">Согласование и утверждение</w:t>
      </w:r>
      <w:r>
        <w:rPr>
          <w:szCs w:val="28"/>
        </w:rPr>
        <w:t xml:space="preserve"> </w:t>
      </w:r>
      <w:r>
        <w:t xml:space="preserve">заявления</w:t>
      </w:r>
      <w:bookmarkEnd w:id="402"/>
      <w:r/>
      <w:bookmarkEnd w:id="403"/>
      <w:r/>
      <w:bookmarkEnd w:id="404"/>
      <w:r/>
      <w:bookmarkEnd w:id="405"/>
      <w:r/>
      <w:bookmarkEnd w:id="406"/>
      <w:r/>
      <w:r/>
    </w:p>
    <w:p>
      <w:pPr>
        <w:pStyle w:val="1284"/>
      </w:pPr>
      <w:r/>
      <w:bookmarkStart w:id="407" w:name="_Ref183513396"/>
      <w:r/>
      <w:bookmarkStart w:id="408" w:name="_Ref183513720"/>
      <w:r/>
      <w:bookmarkStart w:id="409" w:name="_Ref183513752"/>
      <w:r/>
      <w:bookmarkStart w:id="410" w:name="_Ref183513781"/>
      <w:r/>
      <w:bookmarkStart w:id="411" w:name="_Ref183513942"/>
      <w:r/>
      <w:bookmarkStart w:id="412" w:name="_Ref183514015"/>
      <w:r/>
      <w:bookmarkStart w:id="413" w:name="_Toc216437532"/>
      <w:r/>
      <w:bookmarkStart w:id="414" w:name="_Toc221869912"/>
      <w:r>
        <w:t xml:space="preserve">Общая информация</w:t>
      </w:r>
      <w:bookmarkEnd w:id="407"/>
      <w:r/>
      <w:bookmarkEnd w:id="408"/>
      <w:r/>
      <w:bookmarkEnd w:id="409"/>
      <w:r/>
      <w:bookmarkEnd w:id="410"/>
      <w:r/>
      <w:bookmarkEnd w:id="411"/>
      <w:r/>
      <w:bookmarkEnd w:id="412"/>
      <w:r/>
      <w:bookmarkEnd w:id="413"/>
      <w:r/>
      <w:bookmarkEnd w:id="414"/>
      <w:r/>
      <w:r/>
    </w:p>
    <w:p>
      <w:pPr>
        <w:pStyle w:val="1305"/>
      </w:pPr>
      <w:r>
        <w:t xml:space="preserve">Утверждение </w:t>
      </w:r>
      <w:bookmarkStart w:id="415" w:name="_Hlk216447058"/>
      <w:r>
        <w:t xml:space="preserve">Заявлений ЛС</w:t>
      </w:r>
      <w:bookmarkEnd w:id="415"/>
      <w:r>
        <w:t xml:space="preserve"> Клиентом</w:t>
      </w:r>
      <w:r>
        <w:t xml:space="preserve"> проходит в несколько этапов: отправка на согласование, согласование и утверждение заявки.</w:t>
      </w:r>
      <w:r/>
    </w:p>
    <w:p>
      <w:pPr>
        <w:pStyle w:val="1307"/>
      </w:pPr>
      <w:r>
        <w:rPr>
          <w:rStyle w:val="1312"/>
        </w:rPr>
        <w:t xml:space="preserve">Примечание.</w:t>
      </w:r>
      <w:r>
        <w:tab/>
        <w:t xml:space="preserve">Направление на согласование / Согласование / Утверждение Заявления ЛС можно выполнять в множественном режиме (выбрав несколько заявок и нажав на соответствующую кнопку). </w:t>
      </w:r>
      <w:r/>
    </w:p>
    <w:p>
      <w:pPr>
        <w:pStyle w:val="1306"/>
      </w:pPr>
      <w:r>
        <w:t xml:space="preserve">Для отправки на согласование Заявления ЛС Пользователю необходимо выполнить следующие действия:</w:t>
      </w:r>
      <w:r/>
    </w:p>
    <w:p>
      <w:pPr>
        <w:pStyle w:val="1296"/>
      </w:pPr>
      <w:r>
        <w:t xml:space="preserve">в ЛК ЭБ НСИ перейти в раздел «Подсистема нормативно-справочной информации» – «Ведение справочников, реестров, классификаторов» – «Книга регистрации лицевых счетов» – «Открыть лицевой счет»</w:t>
      </w:r>
      <w:r/>
    </w:p>
    <w:p>
      <w:pPr>
        <w:pStyle w:val="1296"/>
      </w:pPr>
      <w:r>
        <w:t xml:space="preserve">выбрать одну или несколько записей в статусе «Черновик»;</w:t>
      </w:r>
      <w:r/>
    </w:p>
    <w:p>
      <w:pPr>
        <w:pStyle w:val="1296"/>
      </w:pPr>
      <w:r>
        <w:t xml:space="preserve">нажать на кнопку «Отправить на согласование</w:t>
      </w:r>
      <w:r>
        <w:t xml:space="preserve"> (Клиент)</w:t>
      </w:r>
      <w:r>
        <w:t xml:space="preserve">».</w:t>
      </w:r>
      <w:r/>
    </w:p>
    <w:p>
      <w:pPr>
        <w:pStyle w:val="1305"/>
      </w:pPr>
      <w:r>
        <w:t xml:space="preserve">Заявление ЛС переходит в статус «На согласовании». Далее его необходимо согласовать.</w:t>
      </w:r>
      <w:r/>
    </w:p>
    <w:p>
      <w:pPr>
        <w:pStyle w:val="1306"/>
      </w:pPr>
      <w:r>
        <w:t xml:space="preserve">Для согласования Заявления ЛС Пользователю необходимо выполнить следующие действия:</w:t>
      </w:r>
      <w:r/>
    </w:p>
    <w:p>
      <w:pPr>
        <w:pStyle w:val="1296"/>
      </w:pPr>
      <w:r>
        <w:t xml:space="preserve">в ЛК ЭБ НСИ перейти в раздел «Подсистема нормативно-справочной информации» – «Ведение справочников, реестров, классификаторов» – «Книга регистрации лицевых счетов» – «Согласование заявлений»;</w:t>
      </w:r>
      <w:r/>
    </w:p>
    <w:p>
      <w:pPr>
        <w:pStyle w:val="1296"/>
      </w:pPr>
      <w:r>
        <w:t xml:space="preserve">выбрать одну или несколько записей в статусе «На согласовании»;</w:t>
      </w:r>
      <w:r/>
    </w:p>
    <w:p>
      <w:pPr>
        <w:pStyle w:val="1296"/>
      </w:pPr>
      <w:r>
        <w:t xml:space="preserve">нажать на кн</w:t>
      </w:r>
      <w:r>
        <w:t xml:space="preserve">опку «Согласовать (Клиент)» (перед выполнением подписания документа выполняется проверка на прохождение контролей Заявления ЛС и в случае выявления блокирующих ошибок, согласование документа невозможно, требуется устранить выявленные ситуации, см.4.2.6.2).</w:t>
      </w:r>
      <w:r/>
    </w:p>
    <w:p>
      <w:pPr>
        <w:pStyle w:val="1305"/>
      </w:pPr>
      <w:r>
        <w:t xml:space="preserve">Заявление ЛС переходит в статус «На утверждении». Далее его необходимо утвердить.</w:t>
      </w:r>
      <w:r/>
    </w:p>
    <w:p>
      <w:pPr>
        <w:pStyle w:val="1306"/>
      </w:pPr>
      <w:r>
        <w:t xml:space="preserve">Для утверждения Заявления ЛС Пользователю необходимо выполнить следующие действия:</w:t>
      </w:r>
      <w:r/>
    </w:p>
    <w:p>
      <w:pPr>
        <w:pStyle w:val="1296"/>
      </w:pPr>
      <w:r>
        <w:t xml:space="preserve">в ЛК ЭБ НСИ перейти в раздел «Подсистема нормативно-справочной информации» – «Ведение справочников, реестров, классификаторов» – «Книга регистрации лицевых счетов» – «Утверждение заявок»;</w:t>
      </w:r>
      <w:r/>
    </w:p>
    <w:p>
      <w:pPr>
        <w:pStyle w:val="1296"/>
      </w:pPr>
      <w:r>
        <w:t xml:space="preserve">в реестре заявок выбрать заявку в статусе «На утверждении»;</w:t>
      </w:r>
      <w:r/>
    </w:p>
    <w:p>
      <w:pPr>
        <w:pStyle w:val="1296"/>
      </w:pPr>
      <w:r>
        <w:t xml:space="preserve">нажать на кнопку «Утвердить (Клиент)» (перед выполнением подп</w:t>
      </w:r>
      <w:r>
        <w:t xml:space="preserve">исания документа, выполняется проверка на прохождение контролей Заявления на открытие / изменение / переоформление / закрытие и в случае выявления блокирующих ошибок, согласование документа невозможно, требуется устранить выявленные ситуации, см. 4.2.6.2).</w:t>
      </w:r>
      <w:r/>
    </w:p>
    <w:p>
      <w:pPr>
        <w:pStyle w:val="1305"/>
      </w:pPr>
      <w:r>
        <w:t xml:space="preserve">Заявление ЛС переходит в статус «На обработке ТОФК» / «На обработке ЦС».</w:t>
      </w:r>
      <w:r/>
    </w:p>
    <w:p>
      <w:pPr>
        <w:pStyle w:val="1305"/>
      </w:pPr>
      <w:r/>
      <w:bookmarkStart w:id="416" w:name="_Hlk216121847"/>
      <w:r>
        <w:t xml:space="preserve">Далее ожидается обработка заявления на стороне ТОФК.</w:t>
      </w:r>
      <w:bookmarkEnd w:id="416"/>
      <w:r/>
      <w:r/>
    </w:p>
    <w:p>
      <w:pPr>
        <w:pStyle w:val="1284"/>
      </w:pPr>
      <w:r/>
      <w:bookmarkStart w:id="417" w:name="_Toc216437533"/>
      <w:r/>
      <w:bookmarkStart w:id="418" w:name="_Toc221869913"/>
      <w:r>
        <w:t xml:space="preserve">Действия в случае нахождения ошибок</w:t>
      </w:r>
      <w:bookmarkEnd w:id="417"/>
      <w:r/>
      <w:bookmarkEnd w:id="418"/>
      <w:r/>
      <w:r/>
    </w:p>
    <w:p>
      <w:pPr>
        <w:pStyle w:val="1285"/>
      </w:pPr>
      <w:r>
        <w:t xml:space="preserve">Ошибки при проверке документа</w:t>
      </w:r>
      <w:r/>
    </w:p>
    <w:p>
      <w:pPr>
        <w:pStyle w:val="1305"/>
      </w:pPr>
      <w:r>
        <w:t xml:space="preserve">Проверка документ осуществляется при выполнении действий «Проверить документ» (на ВФ) или «Согласовать» / «Утвердить» (на СФ, перед подписанием) Заявления ЛС. </w:t>
      </w:r>
      <w:r/>
    </w:p>
    <w:p>
      <w:pPr>
        <w:pStyle w:val="1306"/>
      </w:pPr>
      <w:r>
        <w:t xml:space="preserve">В результате проведенной проверки формуляра «Заявление на изменение справочника «Книга регистрации лицевых счетов» (рис. </w:t>
      </w:r>
      <w:r>
        <w:fldChar w:fldCharType="begin"/>
      </w:r>
      <w:r>
        <w:instrText xml:space="preserve"> REF _Ref183513921 \h  \* MERGEFORMAT </w:instrText>
      </w:r>
      <w:r>
        <w:fldChar w:fldCharType="separate"/>
      </w:r>
      <w:r>
        <w:t xml:space="preserve">20</w:t>
      </w:r>
      <w:r>
        <w:fldChar w:fldCharType="end"/>
      </w:r>
      <w:r>
        <w:t xml:space="preserve">) могут быть выявлены ошибки следующих типов:</w:t>
      </w:r>
      <w:r/>
    </w:p>
    <w:p>
      <w:pPr>
        <w:pStyle w:val="1296"/>
      </w:pPr>
      <w:r>
        <mc:AlternateContent>
          <mc:Choice Requires="wpg">
            <w:drawing>
              <wp:inline xmlns:wp="http://schemas.openxmlformats.org/drawingml/2006/wordprocessingDrawing" distT="0" distB="0" distL="0" distR="0">
                <wp:extent cx="182880" cy="182880"/>
                <wp:effectExtent l="0" t="0" r="0" b="0"/>
                <wp:docPr id="2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pic:cNvPicPr>
                        <pic:nvPr/>
                      </pic:nvPicPr>
                      <pic:blipFill>
                        <a:blip r:embed="rId41"/>
                        <a:stretch/>
                      </pic:blipFill>
                      <pic:spPr bwMode="auto">
                        <a:xfrm>
                          <a:off x="0" y="0"/>
                          <a:ext cx="182880" cy="18288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14.40pt;height:14.40pt;mso-wrap-distance-left:0.00pt;mso-wrap-distance-top:0.00pt;mso-wrap-distance-right:0.00pt;mso-wrap-distance-bottom:0.00pt;" stroked="f">
                <v:path textboxrect="0,0,0,0"/>
                <v:imagedata r:id="rId41" o:title=""/>
              </v:shape>
            </w:pict>
          </mc:Fallback>
        </mc:AlternateContent>
      </w:r>
      <w:r>
        <w:t xml:space="preserve"> «Блокирующий» – если ошибка критична и блокирует выполнение бизнес-процесса, при этом документ нельзя сохранить в системе;</w:t>
      </w:r>
      <w:r/>
    </w:p>
    <w:p>
      <w:pPr>
        <w:pStyle w:val="1296"/>
      </w:pPr>
      <w:r>
        <mc:AlternateContent>
          <mc:Choice Requires="wpg">
            <w:drawing>
              <wp:inline xmlns:wp="http://schemas.openxmlformats.org/drawingml/2006/wordprocessingDrawing" distT="0" distB="0" distL="0" distR="0">
                <wp:extent cx="200000" cy="190476"/>
                <wp:effectExtent l="0" t="0" r="0" b="635"/>
                <wp:docPr id="2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2"/>
                        <a:stretch/>
                      </pic:blipFill>
                      <pic:spPr bwMode="auto">
                        <a:xfrm>
                          <a:off x="0" y="0"/>
                          <a:ext cx="200000" cy="19047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15.75pt;height:15.00pt;mso-wrap-distance-left:0.00pt;mso-wrap-distance-top:0.00pt;mso-wrap-distance-right:0.00pt;mso-wrap-distance-bottom:0.00pt;" stroked="false">
                <v:path textboxrect="0,0,0,0"/>
                <v:imagedata r:id="rId42" o:title=""/>
              </v:shape>
            </w:pict>
          </mc:Fallback>
        </mc:AlternateContent>
      </w:r>
      <w:r>
        <w:t xml:space="preserve"> «Ошибка» – если ошибка критична и блокирует выполнение бизнес-процесса, при этом документ сохраняется в системе;</w:t>
      </w:r>
      <w:r/>
    </w:p>
    <w:p>
      <w:pPr>
        <w:pStyle w:val="1296"/>
      </w:pPr>
      <w:r>
        <mc:AlternateContent>
          <mc:Choice Requires="wpg">
            <w:drawing>
              <wp:inline xmlns:wp="http://schemas.openxmlformats.org/drawingml/2006/wordprocessingDrawing" distT="0" distB="0" distL="0" distR="0">
                <wp:extent cx="200000" cy="161905"/>
                <wp:effectExtent l="0" t="0" r="0" b="0"/>
                <wp:docPr id="2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3"/>
                        <a:stretch/>
                      </pic:blipFill>
                      <pic:spPr bwMode="auto">
                        <a:xfrm>
                          <a:off x="0" y="0"/>
                          <a:ext cx="200000" cy="1619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15.75pt;height:12.75pt;mso-wrap-distance-left:0.00pt;mso-wrap-distance-top:0.00pt;mso-wrap-distance-right:0.00pt;mso-wrap-distance-bottom:0.00pt;" stroked="false">
                <v:path textboxrect="0,0,0,0"/>
                <v:imagedata r:id="rId43" o:title=""/>
              </v:shape>
            </w:pict>
          </mc:Fallback>
        </mc:AlternateContent>
      </w:r>
      <w:r>
        <w:t xml:space="preserve"> «Предупреждающий» – если ошибка некритична для выполнения бизнес-процесса и носит информационный характер.</w:t>
      </w:r>
      <w:r/>
    </w:p>
    <w:p>
      <w:pPr>
        <w:pStyle w:val="1293"/>
      </w:pPr>
      <w:r>
        <mc:AlternateContent>
          <mc:Choice Requires="wpg">
            <w:drawing>
              <wp:inline xmlns:wp="http://schemas.openxmlformats.org/drawingml/2006/wordprocessingDrawing" distT="0" distB="0" distL="0" distR="0">
                <wp:extent cx="6120130" cy="2072640"/>
                <wp:effectExtent l="0" t="0" r="0" b="0"/>
                <wp:docPr id="30"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4"/>
                        <a:stretch/>
                      </pic:blipFill>
                      <pic:spPr bwMode="auto">
                        <a:xfrm>
                          <a:off x="0" y="0"/>
                          <a:ext cx="6120130" cy="20726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481.90pt;height:163.20pt;mso-wrap-distance-left:0.00pt;mso-wrap-distance-top:0.00pt;mso-wrap-distance-right:0.00pt;mso-wrap-distance-bottom:0.00pt;" stroked="false">
                <v:path textboxrect="0,0,0,0"/>
                <v:imagedata r:id="rId44" o:title=""/>
              </v:shape>
            </w:pict>
          </mc:Fallback>
        </mc:AlternateContent>
      </w:r>
      <w:r/>
    </w:p>
    <w:p>
      <w:pPr>
        <w:pStyle w:val="1294"/>
      </w:pPr>
      <w:r>
        <w:fldChar w:fldCharType="begin"/>
      </w:r>
      <w:r>
        <w:instrText xml:space="preserve"> SEQ Рисунок \* ARABIC </w:instrText>
      </w:r>
      <w:r>
        <w:fldChar w:fldCharType="separate"/>
      </w:r>
      <w:bookmarkStart w:id="419" w:name="_Ref183513921"/>
      <w:r/>
      <w:bookmarkStart w:id="420" w:name="_Toc216437685"/>
      <w:r/>
      <w:bookmarkStart w:id="421" w:name="_Toc221869972"/>
      <w:r>
        <w:t xml:space="preserve">20</w:t>
      </w:r>
      <w:bookmarkEnd w:id="419"/>
      <w:r>
        <w:fldChar w:fldCharType="end"/>
      </w:r>
      <w:r>
        <w:t xml:space="preserve">. Списковая форма согласования заявок, результат проверки документов</w:t>
      </w:r>
      <w:bookmarkEnd w:id="420"/>
      <w:r/>
      <w:bookmarkEnd w:id="421"/>
      <w:r>
        <w:t xml:space="preserve"> </w:t>
      </w:r>
      <w:r/>
    </w:p>
    <w:p>
      <w:pPr>
        <w:pStyle w:val="1305"/>
      </w:pPr>
      <w:r>
        <w:t xml:space="preserve">Если в результате выполнения действия будут выявлены контроли с типом «Блокирующая ошибка», то документ не доступен для сохранения и для продолжения работы требуется устранить выявленные ситуации (до заполнить недостающую информацию).</w:t>
      </w:r>
      <w:r/>
    </w:p>
    <w:p>
      <w:pPr>
        <w:pStyle w:val="1305"/>
      </w:pPr>
      <w:r>
        <w:t xml:space="preserve">Если в результате выполнения действия будут выявлены контроли с типом «Ошибка», то документ доступен для сохранения, но для продолжения работы требуется устранить выявленные ситуации (до заполнить недостающую информацию).</w:t>
      </w:r>
      <w:r/>
    </w:p>
    <w:p>
      <w:pPr>
        <w:pStyle w:val="1305"/>
      </w:pPr>
      <w:r>
        <w:t xml:space="preserve">Если в результате выполнения действия будут выявлены контроли с типом «Предупреждение», то необходимо проверить корректность заполнения информации и, если все корректно, продолжить работу с Заявлением.</w:t>
      </w:r>
      <w:r/>
    </w:p>
    <w:p>
      <w:pPr>
        <w:pStyle w:val="1285"/>
      </w:pPr>
      <w:r>
        <w:t xml:space="preserve">Ошибки на этапе согласования / утверждения</w:t>
      </w:r>
      <w:r/>
    </w:p>
    <w:p>
      <w:pPr>
        <w:pStyle w:val="1306"/>
      </w:pPr>
      <w:r>
        <w:t xml:space="preserve">Заявление на изменение с</w:t>
      </w:r>
      <w:r>
        <w:t xml:space="preserve">правочника «Книга регистрации лицевых счетов» доступно для редактирования в статусе «Черновик». В случае нахождения ошибок в статусах «На согласовании» / «На утверждении», у пользователя есть возможность вернуть документ на доработку. Для этого необходимо:</w:t>
      </w:r>
      <w:r/>
    </w:p>
    <w:p>
      <w:pPr>
        <w:pStyle w:val="1296"/>
      </w:pPr>
      <w:r>
        <w:t xml:space="preserve">в ЛК ЭБ НСИ перейти в раздел «Подсистема нормативно-справочной информации» – «Ведение справочников, реестров, классификаторов» – «Книга регистрации лицевых счетов» – «Согласование заявлений» / «Утверждение заявлений»;</w:t>
      </w:r>
      <w:r/>
    </w:p>
    <w:p>
      <w:pPr>
        <w:pStyle w:val="1296"/>
      </w:pPr>
      <w:r>
        <w:t xml:space="preserve">в реестре заявлений выбрать необходимое заявление;</w:t>
      </w:r>
      <w:r/>
    </w:p>
    <w:p>
      <w:pPr>
        <w:pStyle w:val="1296"/>
      </w:pPr>
      <w:r>
        <w:t xml:space="preserve">нажать на кнопку «Вернуть на доработку».</w:t>
      </w:r>
      <w:r/>
    </w:p>
    <w:p>
      <w:pPr>
        <w:pStyle w:val="1305"/>
      </w:pPr>
      <w:r>
        <w:t xml:space="preserve">Заявление ЛС </w:t>
      </w:r>
      <w:r>
        <w:t xml:space="preserve">переходит</w:t>
      </w:r>
      <w:r>
        <w:t xml:space="preserve"> в статус «Черновик» и станет доступным для редактирования.</w:t>
      </w:r>
      <w:r/>
    </w:p>
    <w:p>
      <w:pPr>
        <w:pStyle w:val="1283"/>
      </w:pPr>
      <w:r/>
      <w:bookmarkStart w:id="422" w:name="_Toc163465416"/>
      <w:r/>
      <w:bookmarkStart w:id="423" w:name="_Toc163474892"/>
      <w:r/>
      <w:bookmarkStart w:id="424" w:name="_Toc163475622"/>
      <w:r/>
      <w:bookmarkStart w:id="425" w:name="_Toc163567096"/>
      <w:r/>
      <w:bookmarkStart w:id="426" w:name="_Toc163568889"/>
      <w:r/>
      <w:bookmarkStart w:id="427" w:name="_Toc163465419"/>
      <w:r/>
      <w:bookmarkStart w:id="428" w:name="_Toc163474895"/>
      <w:r/>
      <w:bookmarkStart w:id="429" w:name="_Toc163475625"/>
      <w:r/>
      <w:bookmarkStart w:id="430" w:name="_Toc163567099"/>
      <w:r/>
      <w:bookmarkStart w:id="431" w:name="_Toc163568892"/>
      <w:r/>
      <w:bookmarkStart w:id="432" w:name="_Toc216124224"/>
      <w:r/>
      <w:bookmarkStart w:id="433" w:name="_Toc216435715"/>
      <w:r/>
      <w:bookmarkStart w:id="434" w:name="_Toc221869914"/>
      <w:r/>
      <w:bookmarkEnd w:id="374"/>
      <w:r/>
      <w:bookmarkEnd w:id="375"/>
      <w:r/>
      <w:bookmarkEnd w:id="422"/>
      <w:r/>
      <w:bookmarkEnd w:id="423"/>
      <w:r/>
      <w:bookmarkEnd w:id="424"/>
      <w:r/>
      <w:bookmarkEnd w:id="425"/>
      <w:r/>
      <w:bookmarkEnd w:id="426"/>
      <w:r/>
      <w:bookmarkEnd w:id="427"/>
      <w:r/>
      <w:bookmarkEnd w:id="428"/>
      <w:r/>
      <w:bookmarkEnd w:id="429"/>
      <w:r/>
      <w:bookmarkEnd w:id="430"/>
      <w:r/>
      <w:bookmarkEnd w:id="431"/>
      <w:r>
        <w:t xml:space="preserve">Сопутствующие документы по заявлению лицевого счета</w:t>
      </w:r>
      <w:bookmarkEnd w:id="432"/>
      <w:r/>
      <w:bookmarkEnd w:id="433"/>
      <w:r/>
      <w:bookmarkEnd w:id="434"/>
      <w:r/>
      <w:r/>
    </w:p>
    <w:p>
      <w:pPr>
        <w:pStyle w:val="1305"/>
      </w:pPr>
      <w:r>
        <w:t xml:space="preserve">Сопутствующие документы – это документы, которые формируются в результате обработки заявления по лицевому счету.</w:t>
      </w:r>
      <w:r/>
    </w:p>
    <w:p>
      <w:pPr>
        <w:pStyle w:val="1306"/>
      </w:pPr>
      <w:r>
        <w:t xml:space="preserve">Для лицевых счетов реализован следующие документы:</w:t>
      </w:r>
      <w:r/>
    </w:p>
    <w:p>
      <w:pPr>
        <w:pStyle w:val="1296"/>
      </w:pPr>
      <w:r>
        <w:t xml:space="preserve">Документ «Извещение в ФНС по Лицевому счету»;</w:t>
      </w:r>
      <w:r/>
    </w:p>
    <w:p>
      <w:pPr>
        <w:pStyle w:val="1296"/>
      </w:pPr>
      <w:r>
        <w:t xml:space="preserve">Документ «Уведомление клиента ЛС»;</w:t>
      </w:r>
      <w:r/>
    </w:p>
    <w:p>
      <w:pPr>
        <w:pStyle w:val="1296"/>
      </w:pPr>
      <w:r>
        <w:t xml:space="preserve">Документ «Протоколы»;</w:t>
      </w:r>
      <w:r/>
    </w:p>
    <w:p>
      <w:pPr>
        <w:pStyle w:val="1296"/>
      </w:pPr>
      <w:r>
        <w:t xml:space="preserve">Документ «Информация о реквизитах ЛС»;</w:t>
      </w:r>
      <w:r/>
    </w:p>
    <w:p>
      <w:pPr>
        <w:pStyle w:val="1296"/>
      </w:pPr>
      <w:r>
        <w:t xml:space="preserve">Документ «Уведомление об открытии (отказе открытия) лицевого счета головному исполнителю (исполнителю)»;</w:t>
      </w:r>
      <w:r/>
    </w:p>
    <w:p>
      <w:pPr>
        <w:pStyle w:val="1296"/>
      </w:pPr>
      <w:r>
        <w:t xml:space="preserve">Документ «Уведомление о необходимости закрытия лицевого счета».</w:t>
      </w:r>
      <w:r/>
    </w:p>
    <w:p>
      <w:pPr>
        <w:pStyle w:val="1284"/>
      </w:pPr>
      <w:r/>
      <w:bookmarkStart w:id="435" w:name="_Toc216435716"/>
      <w:r/>
      <w:bookmarkStart w:id="436" w:name="_Ref216708039"/>
      <w:r/>
      <w:bookmarkStart w:id="437" w:name="_Toc221869915"/>
      <w:r>
        <w:t xml:space="preserve">Документ «Извещение в ФНС по Лицевому счету»</w:t>
      </w:r>
      <w:bookmarkEnd w:id="435"/>
      <w:r/>
      <w:bookmarkEnd w:id="436"/>
      <w:r/>
      <w:bookmarkEnd w:id="437"/>
      <w:r/>
      <w:r/>
    </w:p>
    <w:p>
      <w:pPr>
        <w:pStyle w:val="1305"/>
      </w:pPr>
      <w:r>
        <w:t xml:space="preserve">Документ «Извещение в ФНС по Лицевому счету» (далее – Извещение) предназначен для сообщения в налоговый орган об открытии, изменении реквизитов и закрытии лицевого счета Клиентам ЮЛ, в случаях</w:t>
      </w:r>
      <w:r>
        <w:t xml:space="preserve">,</w:t>
      </w:r>
      <w:r>
        <w:t xml:space="preserve"> предусмотренных законодательством Российской Федерации.</w:t>
      </w:r>
      <w:r/>
    </w:p>
    <w:p>
      <w:pPr>
        <w:pStyle w:val="1305"/>
      </w:pPr>
      <w:r>
        <w:t xml:space="preserve">Для просмотра списковой формы формуляра в меню пользователя необходимо выбрать: «Подсистема нормативно-справочной информации» – «Ведение справочников, реестров, классификаторов» – «Книга регистрации лицевых счетов» – «Извещение в ФНС по Лицевому счету».</w:t>
      </w:r>
      <w:r/>
    </w:p>
    <w:p>
      <w:pPr>
        <w:pStyle w:val="1305"/>
      </w:pPr>
      <w:r>
        <w:t xml:space="preserve">Реестр записей формуляра представлен в табличной форме с заголовками, списковая форма приведена на рис. </w:t>
      </w:r>
      <w:r>
        <w:fldChar w:fldCharType="begin"/>
      </w:r>
      <w:r>
        <w:instrText xml:space="preserve"> REF _Ref183514134 \h  \* MERGEFORMAT </w:instrText>
      </w:r>
      <w:r>
        <w:fldChar w:fldCharType="separate"/>
      </w:r>
      <w:r>
        <w:t xml:space="preserve">21</w:t>
      </w:r>
      <w:r>
        <w:fldChar w:fldCharType="end"/>
      </w:r>
      <w:r>
        <w:t xml:space="preserve">.</w:t>
      </w:r>
      <w:r/>
    </w:p>
    <w:p>
      <w:pPr>
        <w:pStyle w:val="1293"/>
      </w:pPr>
      <w:r>
        <mc:AlternateContent>
          <mc:Choice Requires="wpg">
            <w:drawing>
              <wp:inline xmlns:wp="http://schemas.openxmlformats.org/drawingml/2006/wordprocessingDrawing" distT="0" distB="0" distL="0" distR="0">
                <wp:extent cx="6120130" cy="1274445"/>
                <wp:effectExtent l="0" t="0" r="0" b="0"/>
                <wp:docPr id="31"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5"/>
                        <a:stretch/>
                      </pic:blipFill>
                      <pic:spPr bwMode="auto">
                        <a:xfrm>
                          <a:off x="0" y="0"/>
                          <a:ext cx="6120130" cy="12744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481.90pt;height:100.35pt;mso-wrap-distance-left:0.00pt;mso-wrap-distance-top:0.00pt;mso-wrap-distance-right:0.00pt;mso-wrap-distance-bottom:0.00pt;" stroked="false">
                <v:path textboxrect="0,0,0,0"/>
                <v:imagedata r:id="rId45" o:title=""/>
              </v:shape>
            </w:pict>
          </mc:Fallback>
        </mc:AlternateContent>
      </w:r>
      <w:r/>
    </w:p>
    <w:p>
      <w:pPr>
        <w:pStyle w:val="1294"/>
      </w:pPr>
      <w:r>
        <w:fldChar w:fldCharType="begin"/>
      </w:r>
      <w:r>
        <w:instrText xml:space="preserve"> SEQ Рисунок \* ARABIC </w:instrText>
      </w:r>
      <w:r>
        <w:fldChar w:fldCharType="separate"/>
      </w:r>
      <w:bookmarkStart w:id="438" w:name="_Ref183514134"/>
      <w:r/>
      <w:bookmarkStart w:id="439" w:name="_Toc163611891"/>
      <w:r/>
      <w:bookmarkStart w:id="440" w:name="_Toc216435611"/>
      <w:r/>
      <w:bookmarkStart w:id="441" w:name="_Toc221869973"/>
      <w:r>
        <w:t xml:space="preserve">21</w:t>
      </w:r>
      <w:bookmarkEnd w:id="438"/>
      <w:r>
        <w:fldChar w:fldCharType="end"/>
      </w:r>
      <w:r>
        <w:t xml:space="preserve">. Списковая форма формуляра «Извещение в ФНС по Лицевому счету»</w:t>
      </w:r>
      <w:bookmarkEnd w:id="439"/>
      <w:r/>
      <w:bookmarkEnd w:id="440"/>
      <w:r/>
      <w:bookmarkEnd w:id="441"/>
      <w:r/>
      <w:r/>
    </w:p>
    <w:p>
      <w:pPr>
        <w:pStyle w:val="1305"/>
      </w:pPr>
      <w:r>
        <w:t xml:space="preserve">Визуальна</w:t>
      </w:r>
      <w:r>
        <w:t xml:space="preserve">я форма записи формуляра открывается при нажатии на кнопку «Открыть документ на просмотр» или по двойному нажатию по выбранной записи на списковой форме справочника. Визуальная форма записи формуляра «Извещение в ФНС по Лицевому счету» представлена на рис.</w:t>
      </w:r>
      <w:r>
        <w:t xml:space="preserve"> </w:t>
      </w:r>
      <w:r>
        <w:fldChar w:fldCharType="begin"/>
      </w:r>
      <w:r>
        <w:instrText xml:space="preserve"> REF _Ref183514141 \h  \* MERGEFORMAT </w:instrText>
      </w:r>
      <w:r>
        <w:fldChar w:fldCharType="separate"/>
      </w:r>
      <w:r>
        <w:t xml:space="preserve">22</w:t>
      </w:r>
      <w:r>
        <w:fldChar w:fldCharType="end"/>
      </w:r>
      <w:r>
        <w:t xml:space="preserve">.</w:t>
      </w:r>
      <w:r/>
    </w:p>
    <w:p>
      <w:pPr>
        <w:pStyle w:val="1293"/>
      </w:pPr>
      <w:r>
        <mc:AlternateContent>
          <mc:Choice Requires="wpg">
            <w:drawing>
              <wp:inline xmlns:wp="http://schemas.openxmlformats.org/drawingml/2006/wordprocessingDrawing" distT="0" distB="0" distL="0" distR="0">
                <wp:extent cx="6120130" cy="2254250"/>
                <wp:effectExtent l="0" t="0" r="0" b="0"/>
                <wp:docPr id="3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6"/>
                        <a:stretch/>
                      </pic:blipFill>
                      <pic:spPr bwMode="auto">
                        <a:xfrm>
                          <a:off x="0" y="0"/>
                          <a:ext cx="6120130" cy="22542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481.90pt;height:177.50pt;mso-wrap-distance-left:0.00pt;mso-wrap-distance-top:0.00pt;mso-wrap-distance-right:0.00pt;mso-wrap-distance-bottom:0.00pt;" stroked="false">
                <v:path textboxrect="0,0,0,0"/>
                <v:imagedata r:id="rId46" o:title=""/>
              </v:shape>
            </w:pict>
          </mc:Fallback>
        </mc:AlternateContent>
      </w:r>
      <w:r/>
    </w:p>
    <w:p>
      <w:pPr>
        <w:pStyle w:val="1294"/>
      </w:pPr>
      <w:r>
        <w:fldChar w:fldCharType="begin"/>
      </w:r>
      <w:r>
        <w:instrText xml:space="preserve"> SEQ Рисунок \* ARABIC </w:instrText>
      </w:r>
      <w:r>
        <w:fldChar w:fldCharType="separate"/>
      </w:r>
      <w:bookmarkStart w:id="442" w:name="_Ref183514141"/>
      <w:r/>
      <w:bookmarkStart w:id="443" w:name="_Toc163611892"/>
      <w:r/>
      <w:bookmarkStart w:id="444" w:name="_Toc216435612"/>
      <w:r/>
      <w:bookmarkStart w:id="445" w:name="_Toc221869974"/>
      <w:r>
        <w:t xml:space="preserve">22</w:t>
      </w:r>
      <w:bookmarkEnd w:id="442"/>
      <w:r>
        <w:fldChar w:fldCharType="end"/>
      </w:r>
      <w:r>
        <w:t xml:space="preserve">. Визуальная форма записи формуляра «Извещение в ФНС по Лицевому счету»</w:t>
      </w:r>
      <w:bookmarkEnd w:id="443"/>
      <w:r/>
      <w:bookmarkEnd w:id="444"/>
      <w:r/>
      <w:bookmarkEnd w:id="445"/>
      <w:r/>
      <w:r/>
    </w:p>
    <w:p>
      <w:pPr>
        <w:pStyle w:val="1305"/>
      </w:pPr>
      <w:r>
        <w:t xml:space="preserve">Так же, на списковой форме документа «Заявление на изменение Книги регистрации лицевых счетов» реализован реквизит «Извещение», позволяющий осуществить быстрый переход к визуальной форме Извещения, по выбранному лицевому счету.</w:t>
      </w:r>
      <w:r/>
    </w:p>
    <w:p>
      <w:pPr>
        <w:pStyle w:val="1305"/>
      </w:pPr>
      <w:r>
        <w:t xml:space="preserve">Извещение формируется автоматически, без участия пользователя и НЕ доступно для редактирования.</w:t>
      </w:r>
      <w:r/>
    </w:p>
    <w:p>
      <w:pPr>
        <w:pStyle w:val="1305"/>
      </w:pPr>
      <w:r/>
      <w:bookmarkStart w:id="446" w:name="_Hlk219757651"/>
      <w:r>
        <w:t xml:space="preserve">При формировании Извещения вида «1 - Открытие» дата открытия ЛС обновляется при утверждении Заявления на открытие ЛС (за исключением </w:t>
      </w:r>
      <w:r>
        <w:t xml:space="preserve">открытия отложенной датой</w:t>
      </w:r>
      <w:r>
        <w:t xml:space="preserve"> – дата открытия ЛС обновляется в момент открытия ЛС по АП, при добавлении в справочник записи ЛС в статусе «Актуальная»</w:t>
      </w:r>
      <w:r>
        <w:t xml:space="preserve">).</w:t>
      </w:r>
      <w:bookmarkEnd w:id="446"/>
      <w:r/>
    </w:p>
    <w:p>
      <w:pPr>
        <w:pStyle w:val="1305"/>
      </w:pPr>
      <w:r>
        <w:t xml:space="preserve">При переходе Извещения в статус «Передан» видимость формуляра передается в ЛК </w:t>
      </w:r>
      <w:r>
        <w:rPr>
          <w:rStyle w:val="1314"/>
          <w:i w:val="0"/>
        </w:rPr>
        <w:t xml:space="preserve">Клиента.</w:t>
      </w:r>
      <w:r/>
    </w:p>
    <w:p>
      <w:pPr>
        <w:pStyle w:val="1305"/>
      </w:pPr>
      <w:r>
        <w:t xml:space="preserve">Сформированное Извещение из статуса «Передан» автоматически переходит в статус «Получен» при поступлении в систему документа «Ответ (квита</w:t>
      </w:r>
      <w:r>
        <w:t xml:space="preserve">нция) о принятии (непринятии) сообщения органа, осуществляющего открытие и ведение лицевых счетов, об открытии (о закрытии, об изменении реквизитов) лицевого счета организации», в котором реквизит «Код обработки» принимает значение «1» – сообщение принято.</w:t>
      </w:r>
      <w:r/>
    </w:p>
    <w:p>
      <w:pPr>
        <w:pStyle w:val="1305"/>
      </w:pPr>
      <w:r>
        <w:t xml:space="preserve">Сформированное Извещение из статуса «Передан» автоматически переходит в статус «Не получен» при поступлении в систему документа «Ответ (квитанци</w:t>
      </w:r>
      <w:r>
        <w:t xml:space="preserve">я) о принятии (непринятии) сообщения органа, осуществляющего открытие и ведение лицевых счетов, об открытии (о закрытии, об изменении реквизитов) лицевого счета организации», в котором реквизит «Код обработки» принимает значение «0» – сообщение не принято.</w:t>
      </w:r>
      <w:r/>
    </w:p>
    <w:p>
      <w:pPr>
        <w:pStyle w:val="1305"/>
      </w:pPr>
      <w:r>
        <w:t xml:space="preserve">Сформированное Извещение в статусе «Новый» удаляется, если по родительскому документу «Заявление на изменение справочника Книга регистрации лицевых счетов» принято решение об отказе (пользователь нажимает на кнопку </w:t>
      </w:r>
      <w:r>
        <w:rPr>
          <w:szCs w:val="22"/>
        </w:rPr>
        <w:t xml:space="preserve">«Отказать в утверждении (ТОФК)» / «Отказать в утверждении (ЦС)»).</w:t>
      </w:r>
      <w:r/>
    </w:p>
    <w:p>
      <w:pPr>
        <w:pStyle w:val="1305"/>
      </w:pPr>
      <w:r>
        <w:t xml:space="preserve">При необходимости можно сформировать печатную форму документа «Извещение в ФНС по Лицевому счету».</w:t>
      </w:r>
      <w:r/>
    </w:p>
    <w:p>
      <w:pPr>
        <w:pStyle w:val="1284"/>
      </w:pPr>
      <w:r/>
      <w:bookmarkStart w:id="447" w:name="_Toc216435717"/>
      <w:r/>
      <w:bookmarkStart w:id="448" w:name="_Ref216854076"/>
      <w:r/>
      <w:bookmarkStart w:id="449" w:name="_Toc221869916"/>
      <w:r>
        <w:t xml:space="preserve">Документ «Уведомление клиента Лицевого счета»</w:t>
      </w:r>
      <w:bookmarkEnd w:id="447"/>
      <w:r/>
      <w:bookmarkEnd w:id="448"/>
      <w:r/>
      <w:bookmarkEnd w:id="449"/>
      <w:r/>
      <w:r/>
    </w:p>
    <w:p>
      <w:pPr>
        <w:pStyle w:val="1305"/>
      </w:pPr>
      <w:r>
        <w:t xml:space="preserve">Документ </w:t>
      </w:r>
      <w:r>
        <w:rPr>
          <w:szCs w:val="24"/>
        </w:rPr>
        <w:t xml:space="preserve">«</w:t>
      </w:r>
      <w:r>
        <w:t xml:space="preserve">Уведомление клиента Лицевого счета</w:t>
      </w:r>
      <w:r>
        <w:rPr>
          <w:szCs w:val="24"/>
        </w:rPr>
        <w:t xml:space="preserve">» </w:t>
      </w:r>
      <w:r>
        <w:t xml:space="preserve">(далее – Уведомление) содержит информацию об открытии / изменении (переоформлении) / закрытии лицевого счета клиента и предназначен для информирования Клиента.</w:t>
      </w:r>
      <w:r/>
    </w:p>
    <w:p>
      <w:pPr>
        <w:pStyle w:val="1305"/>
      </w:pPr>
      <w:r>
        <w:t xml:space="preserve">Для просмотра списковой формы формуляра в меню пользователя необходимо выбрать: «Подсистема нормативно-справочной информации» – «Ведение справочников, реестров, классификаторов» – «Книга регистрации лицевых счетов» – «Уведомление клиента ЛС».</w:t>
      </w:r>
      <w:r/>
    </w:p>
    <w:p>
      <w:pPr>
        <w:pStyle w:val="1305"/>
      </w:pPr>
      <w:r>
        <w:t xml:space="preserve">Реестр записей формуляра представлен в табличной форме с заголовками, списковая форма приведена на рис. </w:t>
      </w:r>
      <w:r>
        <w:fldChar w:fldCharType="begin"/>
      </w:r>
      <w:r>
        <w:instrText xml:space="preserve"> REF _Ref183514249 \h  \* MERGEFORMAT </w:instrText>
      </w:r>
      <w:r>
        <w:fldChar w:fldCharType="separate"/>
      </w:r>
      <w:r>
        <w:t xml:space="preserve">23</w:t>
      </w:r>
      <w:r>
        <w:fldChar w:fldCharType="end"/>
      </w:r>
      <w:r>
        <w:t xml:space="preserve">.</w:t>
      </w:r>
      <w:r/>
    </w:p>
    <w:p>
      <w:pPr>
        <w:pStyle w:val="1293"/>
      </w:pPr>
      <w:r>
        <mc:AlternateContent>
          <mc:Choice Requires="wpg">
            <w:drawing>
              <wp:inline xmlns:wp="http://schemas.openxmlformats.org/drawingml/2006/wordprocessingDrawing" distT="0" distB="0" distL="0" distR="0">
                <wp:extent cx="6120130" cy="1848485"/>
                <wp:effectExtent l="0" t="0" r="0" b="0"/>
                <wp:docPr id="33"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7"/>
                        <a:stretch/>
                      </pic:blipFill>
                      <pic:spPr bwMode="auto">
                        <a:xfrm>
                          <a:off x="0" y="0"/>
                          <a:ext cx="6120130" cy="1848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481.90pt;height:145.55pt;mso-wrap-distance-left:0.00pt;mso-wrap-distance-top:0.00pt;mso-wrap-distance-right:0.00pt;mso-wrap-distance-bottom:0.00pt;" stroked="false">
                <v:path textboxrect="0,0,0,0"/>
                <v:imagedata r:id="rId47" o:title=""/>
              </v:shape>
            </w:pict>
          </mc:Fallback>
        </mc:AlternateContent>
      </w:r>
      <w:r/>
    </w:p>
    <w:p>
      <w:pPr>
        <w:pStyle w:val="1294"/>
      </w:pPr>
      <w:r>
        <w:fldChar w:fldCharType="begin"/>
      </w:r>
      <w:r>
        <w:instrText xml:space="preserve"> SEQ Рисунок \* ARABIC </w:instrText>
      </w:r>
      <w:r>
        <w:fldChar w:fldCharType="separate"/>
      </w:r>
      <w:bookmarkStart w:id="450" w:name="_Ref183514249"/>
      <w:r/>
      <w:bookmarkStart w:id="451" w:name="_Toc163611893"/>
      <w:r/>
      <w:bookmarkStart w:id="452" w:name="_Toc216435613"/>
      <w:r/>
      <w:bookmarkStart w:id="453" w:name="_Toc221869975"/>
      <w:r>
        <w:t xml:space="preserve">23</w:t>
      </w:r>
      <w:bookmarkEnd w:id="450"/>
      <w:r>
        <w:fldChar w:fldCharType="end"/>
      </w:r>
      <w:r>
        <w:t xml:space="preserve">. Списковая форма формуляра «Уведомление клиента ЛС»</w:t>
      </w:r>
      <w:bookmarkEnd w:id="451"/>
      <w:r/>
      <w:bookmarkEnd w:id="452"/>
      <w:r/>
      <w:bookmarkEnd w:id="453"/>
      <w:r/>
      <w:r/>
    </w:p>
    <w:p>
      <w:pPr>
        <w:pStyle w:val="1305"/>
      </w:pPr>
      <w:r>
        <w:t xml:space="preserve">Визуальная форма записи формуляра открывается при нажатии на кнопку «Открыть документ на просмотр» или по двойному нажатию по выбранной записи на списковой форме справочника. Визуальная форма записи формуляра «Уведомление клиента ЛС» представлена на рис.</w:t>
      </w:r>
      <w:r>
        <w:t xml:space="preserve"> </w:t>
      </w:r>
      <w:r>
        <w:fldChar w:fldCharType="begin"/>
      </w:r>
      <w:r>
        <w:instrText xml:space="preserve"> REF _Ref183514256 \h  \* MERGEFORMAT </w:instrText>
      </w:r>
      <w:r>
        <w:fldChar w:fldCharType="separate"/>
      </w:r>
      <w:r>
        <w:t xml:space="preserve">24</w:t>
      </w:r>
      <w:r>
        <w:fldChar w:fldCharType="end"/>
      </w:r>
      <w:r>
        <w:t xml:space="preserve">.</w:t>
      </w:r>
      <w:r/>
    </w:p>
    <w:p>
      <w:pPr>
        <w:pStyle w:val="1293"/>
      </w:pPr>
      <w:r>
        <mc:AlternateContent>
          <mc:Choice Requires="wpg">
            <w:drawing>
              <wp:inline xmlns:wp="http://schemas.openxmlformats.org/drawingml/2006/wordprocessingDrawing" distT="0" distB="0" distL="0" distR="0">
                <wp:extent cx="6120130" cy="4229100"/>
                <wp:effectExtent l="0" t="0" r="0" b="0"/>
                <wp:docPr id="34"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8"/>
                        <a:stretch/>
                      </pic:blipFill>
                      <pic:spPr bwMode="auto">
                        <a:xfrm>
                          <a:off x="0" y="0"/>
                          <a:ext cx="6120130" cy="42291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481.90pt;height:333.00pt;mso-wrap-distance-left:0.00pt;mso-wrap-distance-top:0.00pt;mso-wrap-distance-right:0.00pt;mso-wrap-distance-bottom:0.00pt;" stroked="false">
                <v:path textboxrect="0,0,0,0"/>
                <v:imagedata r:id="rId48" o:title=""/>
              </v:shape>
            </w:pict>
          </mc:Fallback>
        </mc:AlternateContent>
      </w:r>
      <w:r/>
    </w:p>
    <w:p>
      <w:pPr>
        <w:pStyle w:val="1294"/>
      </w:pPr>
      <w:r>
        <w:fldChar w:fldCharType="begin"/>
      </w:r>
      <w:r>
        <w:instrText xml:space="preserve"> SEQ Рисунок \* ARABIC </w:instrText>
      </w:r>
      <w:r>
        <w:fldChar w:fldCharType="separate"/>
      </w:r>
      <w:bookmarkStart w:id="454" w:name="_Ref183514256"/>
      <w:r/>
      <w:bookmarkStart w:id="455" w:name="_Toc163611894"/>
      <w:r/>
      <w:bookmarkStart w:id="456" w:name="_Toc216435614"/>
      <w:r/>
      <w:bookmarkStart w:id="457" w:name="_Toc221869976"/>
      <w:r>
        <w:t xml:space="preserve">24</w:t>
      </w:r>
      <w:bookmarkEnd w:id="454"/>
      <w:r>
        <w:fldChar w:fldCharType="end"/>
      </w:r>
      <w:r>
        <w:t xml:space="preserve">. Визуальная форма записи формуляра «Уведомление клиента ЛС»</w:t>
      </w:r>
      <w:bookmarkEnd w:id="455"/>
      <w:r>
        <w:t xml:space="preserve">, вкладка «Основная информация»</w:t>
      </w:r>
      <w:bookmarkEnd w:id="456"/>
      <w:r/>
      <w:bookmarkEnd w:id="457"/>
      <w:r/>
      <w:r/>
    </w:p>
    <w:p>
      <w:pPr>
        <w:pStyle w:val="1293"/>
      </w:pPr>
      <w:r>
        <mc:AlternateContent>
          <mc:Choice Requires="wpg">
            <w:drawing>
              <wp:inline xmlns:wp="http://schemas.openxmlformats.org/drawingml/2006/wordprocessingDrawing" distT="0" distB="0" distL="0" distR="0">
                <wp:extent cx="6120130" cy="2134870"/>
                <wp:effectExtent l="0" t="0" r="0" b="0"/>
                <wp:docPr id="35"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9"/>
                        <a:stretch/>
                      </pic:blipFill>
                      <pic:spPr bwMode="auto">
                        <a:xfrm>
                          <a:off x="0" y="0"/>
                          <a:ext cx="6120130" cy="21348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481.90pt;height:168.10pt;mso-wrap-distance-left:0.00pt;mso-wrap-distance-top:0.00pt;mso-wrap-distance-right:0.00pt;mso-wrap-distance-bottom:0.00pt;" stroked="false">
                <v:path textboxrect="0,0,0,0"/>
                <v:imagedata r:id="rId49" o:title=""/>
              </v:shape>
            </w:pict>
          </mc:Fallback>
        </mc:AlternateContent>
      </w:r>
      <w:r/>
    </w:p>
    <w:p>
      <w:pPr>
        <w:pStyle w:val="1294"/>
      </w:pPr>
      <w:r>
        <w:fldChar w:fldCharType="begin"/>
      </w:r>
      <w:r>
        <w:instrText xml:space="preserve"> SEQ Рисунок \* ARABIC </w:instrText>
      </w:r>
      <w:r>
        <w:fldChar w:fldCharType="separate"/>
      </w:r>
      <w:bookmarkStart w:id="458" w:name="_Toc216435615"/>
      <w:r/>
      <w:bookmarkStart w:id="459" w:name="_Toc221869977"/>
      <w:r>
        <w:t xml:space="preserve">25</w:t>
      </w:r>
      <w:r>
        <w:fldChar w:fldCharType="end"/>
      </w:r>
      <w:r>
        <w:t xml:space="preserve">. Визуальная форма записи формуляра «Уведомление клиента ЛС», вкладка «Лист согласования»</w:t>
      </w:r>
      <w:bookmarkEnd w:id="458"/>
      <w:r/>
      <w:bookmarkEnd w:id="459"/>
      <w:r/>
      <w:r/>
    </w:p>
    <w:p>
      <w:pPr>
        <w:pStyle w:val="1305"/>
      </w:pPr>
      <w:r>
        <w:t xml:space="preserve">Уведомление формируется автоматически, без участия пользователя и НЕ доступно для редактирования.</w:t>
      </w:r>
      <w:r/>
    </w:p>
    <w:p>
      <w:pPr>
        <w:pStyle w:val="1305"/>
      </w:pPr>
      <w:r>
        <w:t xml:space="preserve">При формировании Уведо</w:t>
      </w:r>
      <w:r>
        <w:t xml:space="preserve">мления типа «Открытие» дата открытия ЛС обновляется при утверждении Заявления на открытие ЛС (за исключением открытия отложенной датой – дата открытия ЛС обновляется в момент открытия ЛС по АП, при добавлении в справочник записи ЛС в статусе «Актуальная»).</w:t>
      </w:r>
      <w:r/>
    </w:p>
    <w:p>
      <w:pPr>
        <w:pStyle w:val="1305"/>
      </w:pPr>
      <w:r>
        <w:t xml:space="preserve">При переходе Уведомления в статус «</w:t>
      </w:r>
      <w:r>
        <w:rPr>
          <w:rStyle w:val="1314"/>
          <w:i w:val="0"/>
        </w:rPr>
        <w:t xml:space="preserve">Утвержден</w:t>
      </w:r>
      <w:r>
        <w:t xml:space="preserve">» / </w:t>
      </w:r>
      <w:r>
        <w:rPr>
          <w:rStyle w:val="1314"/>
          <w:i w:val="0"/>
        </w:rPr>
        <w:t xml:space="preserve">«Отправлен»</w:t>
      </w:r>
      <w:r>
        <w:t xml:space="preserve"> видимость формуляра передается в ЛК </w:t>
      </w:r>
      <w:r>
        <w:rPr>
          <w:rStyle w:val="1314"/>
          <w:i w:val="0"/>
        </w:rPr>
        <w:t xml:space="preserve">Клиента.</w:t>
      </w:r>
      <w:r/>
    </w:p>
    <w:p>
      <w:pPr>
        <w:pStyle w:val="1307"/>
      </w:pPr>
      <w:r>
        <w:rPr>
          <w:rStyle w:val="1312"/>
        </w:rPr>
        <w:t xml:space="preserve">Примечание.</w:t>
      </w:r>
      <w:r>
        <w:tab/>
        <w:t xml:space="preserve">Видимость успешно передается в ЛК Клиента, если пользователь Клиента работает и хотя бы 1 раз заходил в свой ЛК НСИ ЭБ. До тех пор, пока Клиент не заходил в НСИ ЭБ, отправка видимости Уведомления будет заблокирована, документ останется в статусе «</w:t>
      </w:r>
      <w:r>
        <w:rPr>
          <w:rStyle w:val="1314"/>
          <w:i w:val="0"/>
        </w:rPr>
        <w:t xml:space="preserve">Утвержден</w:t>
      </w:r>
      <w:r>
        <w:t xml:space="preserve">». </w:t>
      </w:r>
      <w:r/>
    </w:p>
    <w:p>
      <w:pPr>
        <w:pStyle w:val="1307"/>
      </w:pPr>
      <w:r>
        <w:tab/>
        <w:t xml:space="preserve">Проверка регистрации Клиента в ЛК НСИ ЭБ осуществляется на основании технической (системной) таблицы </w:t>
      </w:r>
      <w:r>
        <w:rPr>
          <w:lang w:val="en-US"/>
        </w:rPr>
        <w:t xml:space="preserve">ORG</w:t>
      </w:r>
      <w:r>
        <w:t xml:space="preserve">, в которой проверяется наличие кода организации Клиента и если код организации в ней не найден, то считается Клиент не работает в ЛК НСИ ЭБ. Таблица </w:t>
      </w:r>
      <w:r>
        <w:rPr>
          <w:lang w:val="en-US"/>
        </w:rPr>
        <w:t xml:space="preserve">ORG</w:t>
      </w:r>
      <w:r>
        <w:t xml:space="preserve"> содержит коды организаций, работающих в НСИ ЭБ, наполняется автоматически: информация записывается при первичном входе Клиента в ЛК НСИ ЭБ.</w:t>
      </w:r>
      <w:r/>
    </w:p>
    <w:p>
      <w:pPr>
        <w:pStyle w:val="1307"/>
        <w:rPr>
          <w:rStyle w:val="1314"/>
          <w:i w:val="0"/>
        </w:rPr>
      </w:pPr>
      <w:r>
        <w:tab/>
      </w:r>
      <w:r>
        <w:rPr>
          <w:rStyle w:val="1314"/>
          <w:i w:val="0"/>
        </w:rPr>
        <w:t xml:space="preserve">Если уведомление не отображается в ЛК Клиента по организации, работающей в НСИ ЭБ, то Клиенту необходимо обратиться в ТОФК по месту открытия ЛС, для повторной отправки Уведомления в ЛК Клиента. </w:t>
      </w:r>
      <w:r>
        <w:rPr>
          <w:rStyle w:val="1314"/>
          <w:i w:val="0"/>
        </w:rPr>
      </w:r>
    </w:p>
    <w:p>
      <w:pPr>
        <w:pStyle w:val="1307"/>
        <w:rPr>
          <w:rStyle w:val="1314"/>
          <w:i w:val="0"/>
        </w:rPr>
      </w:pPr>
      <w:r>
        <w:tab/>
      </w:r>
      <w:r>
        <w:rPr>
          <w:rStyle w:val="1314"/>
          <w:i w:val="0"/>
        </w:rPr>
        <w:t xml:space="preserve">Для ТОФК по месту открытия ЛС реализована возможность вручную повторно направить уведомление в ЛК Клиента, для этого </w:t>
      </w:r>
      <w:r>
        <w:t xml:space="preserve">на СФ формуляра необходимо нажать на кнопку «Отправить», и если пользователь Клиента ранее заходил в ЛК, то осуществляется отправка документа «Уведомление клиента ЛС» Клиенту и </w:t>
      </w:r>
      <w:r>
        <w:rPr>
          <w:rStyle w:val="1314"/>
          <w:i w:val="0"/>
        </w:rPr>
        <w:t xml:space="preserve">уведомление переходит в статус «Отправлен».</w:t>
      </w:r>
      <w:r>
        <w:rPr>
          <w:rStyle w:val="1314"/>
          <w:i w:val="0"/>
        </w:rPr>
      </w:r>
    </w:p>
    <w:p>
      <w:pPr>
        <w:pStyle w:val="1305"/>
        <w:rPr>
          <w:szCs w:val="22"/>
        </w:rPr>
      </w:pPr>
      <w:r>
        <w:t xml:space="preserve">При необходимости можно сформировать печатную форму документа «Уведомление клиента ЛС».</w:t>
      </w:r>
      <w:r>
        <w:rPr>
          <w:szCs w:val="22"/>
        </w:rPr>
      </w:r>
    </w:p>
    <w:p>
      <w:pPr>
        <w:pStyle w:val="1284"/>
      </w:pPr>
      <w:r/>
      <w:bookmarkStart w:id="460" w:name="_Toc216435718"/>
      <w:r/>
      <w:bookmarkStart w:id="461" w:name="_Toc221869917"/>
      <w:r>
        <w:t xml:space="preserve">Документ «Протоколы»</w:t>
      </w:r>
      <w:bookmarkEnd w:id="460"/>
      <w:r/>
      <w:bookmarkEnd w:id="461"/>
      <w:r/>
      <w:r/>
    </w:p>
    <w:p>
      <w:pPr>
        <w:pStyle w:val="1305"/>
      </w:pPr>
      <w:r>
        <w:t xml:space="preserve">Документ </w:t>
      </w:r>
      <w:r>
        <w:rPr>
          <w:szCs w:val="24"/>
        </w:rPr>
        <w:t xml:space="preserve">«</w:t>
      </w:r>
      <w:r>
        <w:t xml:space="preserve">Протоколы</w:t>
      </w:r>
      <w:r>
        <w:rPr>
          <w:szCs w:val="24"/>
        </w:rPr>
        <w:t xml:space="preserve">» </w:t>
      </w:r>
      <w:r>
        <w:t xml:space="preserve">(далее – Протокол) содержит информацию об отказе в открытии лицевого счета клиента и предназначен для информирования Клиента.</w:t>
      </w:r>
      <w:r/>
    </w:p>
    <w:p>
      <w:pPr>
        <w:pStyle w:val="1305"/>
      </w:pPr>
      <w:r>
        <w:t xml:space="preserve">В результате о</w:t>
      </w:r>
      <w:r>
        <w:t xml:space="preserve">бработки Заявления на изменение справочника «Книга регистрации лицевых счетов» Пользователь ТОФК / ЦС проводит проверку документов, необходимых для открытия лицевого счета, в том числе форматно-логические контроль и, при открытии лицевого счета, участвующе</w:t>
      </w:r>
      <w:r>
        <w:t xml:space="preserve">го в проведении бюджетного мониторинга, проверяет наличие признаков финансовых нарушений. Если в случае проведенных проверок принято решение об отказе в открытии лицевого счета, то Пользователь отказывает Клиенту и по такому заявлению формируется Протокол.</w:t>
      </w:r>
      <w:r/>
    </w:p>
    <w:p>
      <w:pPr>
        <w:pStyle w:val="1305"/>
      </w:pPr>
      <w:r>
        <w:t xml:space="preserve">Для просмотра списковой формы формуляра в меню пользователя необходимо выбрать: «Подсистема нормативно-справочной информации» – «Ведение справочников, реестров, классификаторов» – «Книга регистрации лицевых счетов» – «Протоколы».</w:t>
      </w:r>
      <w:r/>
    </w:p>
    <w:p>
      <w:pPr>
        <w:pStyle w:val="1305"/>
      </w:pPr>
      <w:r>
        <w:t xml:space="preserve">Реестр записей формуляра представлен в табличной форме с заголовками, списковая форма приведена на рис. </w:t>
      </w:r>
      <w:r>
        <w:fldChar w:fldCharType="begin"/>
      </w:r>
      <w:r>
        <w:instrText xml:space="preserve"> REF _Ref183514279 \h  \* MERGEFORMAT </w:instrText>
      </w:r>
      <w:r>
        <w:fldChar w:fldCharType="separate"/>
      </w:r>
      <w:r>
        <w:t xml:space="preserve">26</w:t>
      </w:r>
      <w:r>
        <w:fldChar w:fldCharType="end"/>
      </w:r>
      <w:r>
        <w:t xml:space="preserve">.</w:t>
      </w:r>
      <w:r/>
    </w:p>
    <w:p>
      <w:pPr>
        <w:pStyle w:val="1293"/>
      </w:pPr>
      <w:r>
        <mc:AlternateContent>
          <mc:Choice Requires="wpg">
            <w:drawing>
              <wp:inline xmlns:wp="http://schemas.openxmlformats.org/drawingml/2006/wordprocessingDrawing" distT="0" distB="0" distL="0" distR="0">
                <wp:extent cx="6120130" cy="1241425"/>
                <wp:effectExtent l="0" t="0" r="0" b="0"/>
                <wp:docPr id="36"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0"/>
                        <a:stretch/>
                      </pic:blipFill>
                      <pic:spPr bwMode="auto">
                        <a:xfrm>
                          <a:off x="0" y="0"/>
                          <a:ext cx="6120130" cy="12414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481.90pt;height:97.75pt;mso-wrap-distance-left:0.00pt;mso-wrap-distance-top:0.00pt;mso-wrap-distance-right:0.00pt;mso-wrap-distance-bottom:0.00pt;" stroked="false">
                <v:path textboxrect="0,0,0,0"/>
                <v:imagedata r:id="rId50" o:title=""/>
              </v:shape>
            </w:pict>
          </mc:Fallback>
        </mc:AlternateContent>
      </w:r>
      <w:r/>
    </w:p>
    <w:p>
      <w:pPr>
        <w:pStyle w:val="1294"/>
      </w:pPr>
      <w:r>
        <w:fldChar w:fldCharType="begin"/>
      </w:r>
      <w:r>
        <w:instrText xml:space="preserve"> SEQ Рисунок \* ARABIC </w:instrText>
      </w:r>
      <w:r>
        <w:fldChar w:fldCharType="separate"/>
      </w:r>
      <w:bookmarkStart w:id="462" w:name="_Ref183514279"/>
      <w:r/>
      <w:bookmarkStart w:id="463" w:name="_Toc163611895"/>
      <w:r/>
      <w:bookmarkStart w:id="464" w:name="_Toc216435616"/>
      <w:r/>
      <w:bookmarkStart w:id="465" w:name="_Toc221869978"/>
      <w:r>
        <w:t xml:space="preserve">26</w:t>
      </w:r>
      <w:bookmarkEnd w:id="462"/>
      <w:r>
        <w:fldChar w:fldCharType="end"/>
      </w:r>
      <w:r>
        <w:t xml:space="preserve">. Списковая форма формуляра «Протоколы»</w:t>
      </w:r>
      <w:bookmarkEnd w:id="463"/>
      <w:r/>
      <w:bookmarkEnd w:id="464"/>
      <w:r/>
      <w:bookmarkEnd w:id="465"/>
      <w:r/>
      <w:r/>
    </w:p>
    <w:p>
      <w:pPr>
        <w:pStyle w:val="1305"/>
      </w:pPr>
      <w:r>
        <w:t xml:space="preserve">Визуальная форма записи формуляра открывается при нажатии на кнопку «Открыть документ на просмотр» или по двойному нажатию по выбранной записи на списковой форме справочника. Визуальная форма записи формуляра «Протоколы» представлена на рис. </w:t>
      </w:r>
      <w:r>
        <w:fldChar w:fldCharType="begin"/>
      </w:r>
      <w:r>
        <w:instrText xml:space="preserve"> REF _Ref183514286 \h  \* MERGEFORMAT </w:instrText>
      </w:r>
      <w:r>
        <w:fldChar w:fldCharType="separate"/>
      </w:r>
      <w:r>
        <w:t xml:space="preserve">27</w:t>
      </w:r>
      <w:r>
        <w:fldChar w:fldCharType="end"/>
      </w:r>
      <w:r>
        <w:t xml:space="preserve">.</w:t>
      </w:r>
      <w:r/>
    </w:p>
    <w:p>
      <w:pPr>
        <w:pStyle w:val="1293"/>
      </w:pPr>
      <w:r>
        <mc:AlternateContent>
          <mc:Choice Requires="wpg">
            <w:drawing>
              <wp:inline xmlns:wp="http://schemas.openxmlformats.org/drawingml/2006/wordprocessingDrawing" distT="0" distB="0" distL="0" distR="0">
                <wp:extent cx="6120130" cy="3308985"/>
                <wp:effectExtent l="0" t="0" r="0" b="0"/>
                <wp:docPr id="37"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1"/>
                        <a:stretch/>
                      </pic:blipFill>
                      <pic:spPr bwMode="auto">
                        <a:xfrm>
                          <a:off x="0" y="0"/>
                          <a:ext cx="6120130" cy="33089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481.90pt;height:260.55pt;mso-wrap-distance-left:0.00pt;mso-wrap-distance-top:0.00pt;mso-wrap-distance-right:0.00pt;mso-wrap-distance-bottom:0.00pt;" stroked="false">
                <v:path textboxrect="0,0,0,0"/>
                <v:imagedata r:id="rId51" o:title=""/>
              </v:shape>
            </w:pict>
          </mc:Fallback>
        </mc:AlternateContent>
      </w:r>
      <w:r/>
    </w:p>
    <w:p>
      <w:pPr>
        <w:pStyle w:val="1294"/>
      </w:pPr>
      <w:r>
        <w:fldChar w:fldCharType="begin"/>
      </w:r>
      <w:r>
        <w:instrText xml:space="preserve"> SEQ Рисунок \* ARABIC </w:instrText>
      </w:r>
      <w:r>
        <w:fldChar w:fldCharType="separate"/>
      </w:r>
      <w:bookmarkStart w:id="466" w:name="_Ref183514286"/>
      <w:r/>
      <w:bookmarkStart w:id="467" w:name="_Toc163611896"/>
      <w:r/>
      <w:bookmarkStart w:id="468" w:name="_Toc216435617"/>
      <w:r/>
      <w:bookmarkStart w:id="469" w:name="_Toc221869979"/>
      <w:r>
        <w:t xml:space="preserve">27</w:t>
      </w:r>
      <w:bookmarkEnd w:id="466"/>
      <w:r>
        <w:fldChar w:fldCharType="end"/>
      </w:r>
      <w:r>
        <w:t xml:space="preserve">. Визуальная форма записи формуляра «Протоколы»</w:t>
      </w:r>
      <w:bookmarkEnd w:id="467"/>
      <w:r/>
      <w:bookmarkEnd w:id="468"/>
      <w:r/>
      <w:bookmarkEnd w:id="469"/>
      <w:r/>
      <w:r/>
    </w:p>
    <w:p>
      <w:pPr>
        <w:pStyle w:val="1305"/>
      </w:pPr>
      <w:r>
        <w:t xml:space="preserve">Так же, на списковой форме документа «Заявление на изменение Книги регистрации лицевых счетов» реализован реквизит «Протокол», позволяющий осуществить быстрый переход к визуальной форме Протокола, по выбранному лицевому счету.</w:t>
      </w:r>
      <w:r/>
    </w:p>
    <w:p>
      <w:pPr>
        <w:pStyle w:val="1305"/>
      </w:pPr>
      <w:r>
        <w:t xml:space="preserve">Протокол формируется автоматически, требует обработки и утверждения пользователем ТОФК.</w:t>
      </w:r>
      <w:r/>
    </w:p>
    <w:p>
      <w:pPr>
        <w:pStyle w:val="1305"/>
      </w:pPr>
      <w:r>
        <w:t xml:space="preserve">При переходе Протокола в статус «Утвержден» видимость формуляра передается в ЛК </w:t>
      </w:r>
      <w:r>
        <w:rPr>
          <w:rStyle w:val="1314"/>
          <w:i w:val="0"/>
        </w:rPr>
        <w:t xml:space="preserve">Клиента.</w:t>
      </w:r>
      <w:r/>
    </w:p>
    <w:p>
      <w:pPr>
        <w:pStyle w:val="1305"/>
      </w:pPr>
      <w:r>
        <w:t xml:space="preserve">При необходимости можно сформировать печатную форму документа «Протокол об отказе в открытии лицевого счета» и «Уведомления о возврате документов Клиенту при отказе в открытии ЛС».</w:t>
      </w:r>
      <w:r/>
    </w:p>
    <w:p>
      <w:pPr>
        <w:pStyle w:val="1284"/>
      </w:pPr>
      <w:r/>
      <w:bookmarkStart w:id="470" w:name="_Toc216435719"/>
      <w:r/>
      <w:bookmarkStart w:id="471" w:name="_Ref216708048"/>
      <w:r/>
      <w:bookmarkStart w:id="472" w:name="_Toc221869918"/>
      <w:r>
        <w:t xml:space="preserve">Документ «Информация о реквизитах ЛС»</w:t>
      </w:r>
      <w:bookmarkEnd w:id="470"/>
      <w:r/>
      <w:bookmarkEnd w:id="471"/>
      <w:r/>
      <w:bookmarkEnd w:id="472"/>
      <w:r/>
      <w:r/>
    </w:p>
    <w:p>
      <w:pPr>
        <w:pStyle w:val="1305"/>
      </w:pPr>
      <w:r>
        <w:t xml:space="preserve">Документ </w:t>
      </w:r>
      <w:r>
        <w:rPr>
          <w:szCs w:val="24"/>
        </w:rPr>
        <w:t xml:space="preserve">«Информация о реквизитах ЛС» </w:t>
      </w:r>
      <w:r>
        <w:t xml:space="preserve">(далее – Информация) содержит информацию об актуальных реквизитах лицевого счета и предназначен для информирования Клиента.</w:t>
      </w:r>
      <w:r/>
    </w:p>
    <w:p>
      <w:pPr>
        <w:pStyle w:val="1306"/>
      </w:pPr>
      <w:r/>
      <w:bookmarkStart w:id="473" w:name="_Hlk216436217"/>
      <w:r>
        <w:rPr>
          <w:szCs w:val="24"/>
        </w:rPr>
        <w:t xml:space="preserve">Информация </w:t>
      </w:r>
      <w:r>
        <w:t xml:space="preserve">формируется, в следующих ситуациях:</w:t>
      </w:r>
      <w:r/>
    </w:p>
    <w:p>
      <w:pPr>
        <w:pStyle w:val="1296"/>
      </w:pPr>
      <w:r>
        <w:t xml:space="preserve">по факту резервирования ЛС «71»;</w:t>
      </w:r>
      <w:r/>
    </w:p>
    <w:p>
      <w:pPr>
        <w:pStyle w:val="1296"/>
      </w:pPr>
      <w:r>
        <w:t xml:space="preserve">по факту открытия ЛС «71»;</w:t>
      </w:r>
      <w:r/>
    </w:p>
    <w:p>
      <w:pPr>
        <w:pStyle w:val="1296"/>
      </w:pPr>
      <w:r>
        <w:t xml:space="preserve">по факту открытия первого раздела по лицевому счету;</w:t>
      </w:r>
      <w:r/>
    </w:p>
    <w:p>
      <w:pPr>
        <w:pStyle w:val="1296"/>
      </w:pPr>
      <w:r>
        <w:t xml:space="preserve">по факту внесения изменений в сведения ЛС «71».</w:t>
      </w:r>
      <w:bookmarkEnd w:id="473"/>
      <w:r/>
      <w:r/>
    </w:p>
    <w:p>
      <w:pPr>
        <w:pStyle w:val="1305"/>
      </w:pPr>
      <w:r>
        <w:t xml:space="preserve">Для просмотра списковой формы формуляра в меню пользователя необходимо выбрать: Подсистема нормативно-справочной информации» – «Ведение справочников, реестров, классификаторов» – «Книга регистрации лицевых счетов» – «</w:t>
      </w:r>
      <w:r>
        <w:rPr>
          <w:szCs w:val="24"/>
        </w:rPr>
        <w:t xml:space="preserve">Информация о реквизитах ЛС</w:t>
      </w:r>
      <w:r>
        <w:t xml:space="preserve">».</w:t>
      </w:r>
      <w:r/>
    </w:p>
    <w:p>
      <w:pPr>
        <w:pStyle w:val="1305"/>
      </w:pPr>
      <w:r>
        <w:t xml:space="preserve">Реестр записей формуляра представлен в табличной форме с заголовками, списковая форма приведена на рис.</w:t>
      </w:r>
      <w:r>
        <w:t xml:space="preserve"> </w:t>
      </w:r>
      <w:r>
        <w:fldChar w:fldCharType="begin"/>
      </w:r>
      <w:r>
        <w:instrText xml:space="preserve"> REF _Ref216706293 \h </w:instrText>
      </w:r>
      <w:r>
        <w:instrText xml:space="preserve"> \* MERGEFORMAT </w:instrText>
      </w:r>
      <w:r>
        <w:fldChar w:fldCharType="separate"/>
      </w:r>
      <w:r>
        <w:t xml:space="preserve">28</w:t>
      </w:r>
      <w:r>
        <w:fldChar w:fldCharType="end"/>
      </w:r>
      <w:r>
        <w:t xml:space="preserve">.</w:t>
      </w:r>
      <w:r/>
    </w:p>
    <w:p>
      <w:pPr>
        <w:pStyle w:val="1293"/>
      </w:pPr>
      <w:r>
        <mc:AlternateContent>
          <mc:Choice Requires="wpg">
            <w:drawing>
              <wp:inline xmlns:wp="http://schemas.openxmlformats.org/drawingml/2006/wordprocessingDrawing" distT="0" distB="0" distL="0" distR="0">
                <wp:extent cx="6120130" cy="818515"/>
                <wp:effectExtent l="0" t="0" r="0" b="0"/>
                <wp:docPr id="3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2"/>
                        <a:stretch/>
                      </pic:blipFill>
                      <pic:spPr bwMode="auto">
                        <a:xfrm>
                          <a:off x="0" y="0"/>
                          <a:ext cx="6120130" cy="8185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481.90pt;height:64.45pt;mso-wrap-distance-left:0.00pt;mso-wrap-distance-top:0.00pt;mso-wrap-distance-right:0.00pt;mso-wrap-distance-bottom:0.00pt;" stroked="false">
                <v:path textboxrect="0,0,0,0"/>
                <v:imagedata r:id="rId52" o:title=""/>
              </v:shape>
            </w:pict>
          </mc:Fallback>
        </mc:AlternateContent>
      </w:r>
      <w:r/>
    </w:p>
    <w:p>
      <w:pPr>
        <w:pStyle w:val="1294"/>
      </w:pPr>
      <w:r>
        <w:fldChar w:fldCharType="begin"/>
      </w:r>
      <w:r>
        <w:instrText xml:space="preserve"> SEQ Рисунок \* ARABIC </w:instrText>
      </w:r>
      <w:r>
        <w:fldChar w:fldCharType="separate"/>
      </w:r>
      <w:bookmarkStart w:id="474" w:name="_Ref216706293"/>
      <w:r/>
      <w:bookmarkStart w:id="475" w:name="_Toc206501752"/>
      <w:r/>
      <w:bookmarkStart w:id="476" w:name="_Toc216435618"/>
      <w:r/>
      <w:bookmarkStart w:id="477" w:name="_Toc221869980"/>
      <w:r>
        <w:t xml:space="preserve">28</w:t>
      </w:r>
      <w:bookmarkEnd w:id="474"/>
      <w:r>
        <w:fldChar w:fldCharType="end"/>
      </w:r>
      <w:r>
        <w:t xml:space="preserve">. Списковая форма формуляра «Информация о реквизитах ЛС»</w:t>
      </w:r>
      <w:bookmarkEnd w:id="475"/>
      <w:r/>
      <w:bookmarkEnd w:id="476"/>
      <w:r/>
      <w:bookmarkEnd w:id="477"/>
      <w:r/>
      <w:r/>
    </w:p>
    <w:p>
      <w:pPr>
        <w:pStyle w:val="1305"/>
      </w:pPr>
      <w:r>
        <w:t xml:space="preserve">Ви</w:t>
      </w:r>
      <w:r>
        <w:t xml:space="preserve">зуальная форма записи формуляра открывается при нажатии на кнопку «Открыть документ на просмотр» или по двойному нажатию по выбранной записи на списковой форме справочника. Визуальная форма записи формуляра «Информация о реквизитах ЛС» представлена на рис.</w:t>
      </w:r>
      <w:r>
        <w:t xml:space="preserve"> </w:t>
      </w:r>
      <w:r>
        <w:fldChar w:fldCharType="begin"/>
      </w:r>
      <w:r>
        <w:instrText xml:space="preserve"> REF _Ref216706304 \h </w:instrText>
      </w:r>
      <w:r>
        <w:instrText xml:space="preserve"> \* MERGEFORMAT </w:instrText>
      </w:r>
      <w:r>
        <w:fldChar w:fldCharType="separate"/>
      </w:r>
      <w:r>
        <w:t xml:space="preserve">29</w:t>
      </w:r>
      <w:r>
        <w:fldChar w:fldCharType="end"/>
      </w:r>
      <w:r>
        <w:t xml:space="preserve">.</w:t>
      </w:r>
      <w:r/>
    </w:p>
    <w:p>
      <w:pPr>
        <w:pStyle w:val="1293"/>
      </w:pPr>
      <w:r>
        <mc:AlternateContent>
          <mc:Choice Requires="wpg">
            <w:drawing>
              <wp:inline xmlns:wp="http://schemas.openxmlformats.org/drawingml/2006/wordprocessingDrawing" distT="0" distB="0" distL="0" distR="0">
                <wp:extent cx="6120130" cy="5109845"/>
                <wp:effectExtent l="0" t="0" r="0" b="0"/>
                <wp:docPr id="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3"/>
                        <a:stretch/>
                      </pic:blipFill>
                      <pic:spPr bwMode="auto">
                        <a:xfrm>
                          <a:off x="0" y="0"/>
                          <a:ext cx="6120130" cy="51098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481.90pt;height:402.35pt;mso-wrap-distance-left:0.00pt;mso-wrap-distance-top:0.00pt;mso-wrap-distance-right:0.00pt;mso-wrap-distance-bottom:0.00pt;" stroked="false">
                <v:path textboxrect="0,0,0,0"/>
                <v:imagedata r:id="rId53" o:title=""/>
              </v:shape>
            </w:pict>
          </mc:Fallback>
        </mc:AlternateContent>
      </w:r>
      <w:r/>
    </w:p>
    <w:p>
      <w:pPr>
        <w:pStyle w:val="1294"/>
      </w:pPr>
      <w:r>
        <w:fldChar w:fldCharType="begin"/>
      </w:r>
      <w:r>
        <w:instrText xml:space="preserve"> SEQ Рисунок \* ARABIC </w:instrText>
      </w:r>
      <w:r>
        <w:fldChar w:fldCharType="separate"/>
      </w:r>
      <w:bookmarkStart w:id="478" w:name="_Ref216706304"/>
      <w:r/>
      <w:bookmarkStart w:id="479" w:name="_Toc206501753"/>
      <w:r/>
      <w:bookmarkStart w:id="480" w:name="_Toc216435619"/>
      <w:r/>
      <w:bookmarkStart w:id="481" w:name="_Toc221869981"/>
      <w:r>
        <w:t xml:space="preserve">29</w:t>
      </w:r>
      <w:bookmarkEnd w:id="478"/>
      <w:r>
        <w:fldChar w:fldCharType="end"/>
      </w:r>
      <w:r>
        <w:t xml:space="preserve">. Визуальная форма записи формуляра «Информация о реквизитах ЛС»</w:t>
      </w:r>
      <w:bookmarkEnd w:id="479"/>
      <w:r/>
      <w:bookmarkEnd w:id="480"/>
      <w:r/>
      <w:bookmarkEnd w:id="481"/>
      <w:r/>
      <w:r/>
    </w:p>
    <w:p>
      <w:pPr>
        <w:pStyle w:val="1305"/>
      </w:pPr>
      <w:r>
        <w:rPr>
          <w:szCs w:val="24"/>
        </w:rPr>
        <w:t xml:space="preserve">Информация </w:t>
      </w:r>
      <w:r>
        <w:t xml:space="preserve">формируется автоматически, без участия пользователя и</w:t>
      </w:r>
      <w:r>
        <w:rPr>
          <w:szCs w:val="24"/>
        </w:rPr>
        <w:t xml:space="preserve"> </w:t>
      </w:r>
      <w:r>
        <w:t xml:space="preserve">НЕ доступно для редактирования.</w:t>
      </w:r>
      <w:r/>
    </w:p>
    <w:p>
      <w:pPr>
        <w:pStyle w:val="1305"/>
      </w:pPr>
      <w:r>
        <w:t xml:space="preserve">При переходе Протокола в статус «</w:t>
      </w:r>
      <w:r>
        <w:rPr>
          <w:rStyle w:val="1314"/>
          <w:i w:val="0"/>
        </w:rPr>
        <w:t xml:space="preserve">Отправлен</w:t>
      </w:r>
      <w:r>
        <w:t xml:space="preserve">» видимость формуляра передается в ЛК </w:t>
      </w:r>
      <w:r>
        <w:rPr>
          <w:rStyle w:val="1314"/>
          <w:i w:val="0"/>
        </w:rPr>
        <w:t xml:space="preserve">Клиента / </w:t>
      </w:r>
      <w:r>
        <w:t xml:space="preserve">Заказчика</w:t>
      </w:r>
      <w:r>
        <w:rPr>
          <w:rStyle w:val="1314"/>
          <w:i w:val="0"/>
        </w:rPr>
        <w:t xml:space="preserve">.</w:t>
      </w:r>
      <w:r/>
    </w:p>
    <w:p>
      <w:pPr>
        <w:pStyle w:val="1307"/>
      </w:pPr>
      <w:r>
        <w:rPr>
          <w:rStyle w:val="1312"/>
        </w:rPr>
        <w:t xml:space="preserve">Примечание.</w:t>
      </w:r>
      <w:r>
        <w:tab/>
        <w:t xml:space="preserve">Видимость успешно передается в ЛК Клиента / ЛК Заказчика, если пользователь Клиента / Заказчика работает и хотя бы 1 раз заходил в свой ЛК НСИ </w:t>
      </w:r>
      <w:r>
        <w:t xml:space="preserve">ЭБ. До тех пор, пока Клиент / Заказчик не заходил в НСИ ЭБ, отправка видимости </w:t>
      </w:r>
      <w:r>
        <w:rPr>
          <w:szCs w:val="24"/>
        </w:rPr>
        <w:t xml:space="preserve">Информации </w:t>
      </w:r>
      <w:r>
        <w:t xml:space="preserve">будет заблокирована, документ останется в статусе «</w:t>
      </w:r>
      <w:r>
        <w:rPr>
          <w:rStyle w:val="1314"/>
          <w:i w:val="0"/>
        </w:rPr>
        <w:t xml:space="preserve">Новый</w:t>
      </w:r>
      <w:r>
        <w:t xml:space="preserve">». </w:t>
      </w:r>
      <w:r/>
    </w:p>
    <w:p>
      <w:pPr>
        <w:pStyle w:val="1307"/>
      </w:pPr>
      <w:r>
        <w:tab/>
        <w:t xml:space="preserve">Проверка регистрации Клиента / Заказчика в ЛК НСИ ЭБ осуществляется на основании технической (системной) таблицы </w:t>
      </w:r>
      <w:r>
        <w:rPr>
          <w:lang w:val="en-US"/>
        </w:rPr>
        <w:t xml:space="preserve">ORG</w:t>
      </w:r>
      <w:r>
        <w:t xml:space="preserve">, в которой проверяется наличие кода организации Клиента / Заказчика и если код организации в ней не найден, то считается Клиент / Заказчик не работает в ЛК НСИ ЭБ. Таблица </w:t>
      </w:r>
      <w:r>
        <w:rPr>
          <w:lang w:val="en-US"/>
        </w:rPr>
        <w:t xml:space="preserve">ORG</w:t>
      </w:r>
      <w:r>
        <w:t xml:space="preserve"> содержит коды организаций, работающих в НСИ ЭБ, наполняется автоматически: информация записывается при первичном входе Клиента / Заказчика в ЛК НСИ ЭБ.</w:t>
      </w:r>
      <w:r/>
    </w:p>
    <w:p>
      <w:pPr>
        <w:pStyle w:val="1307"/>
        <w:rPr>
          <w:rStyle w:val="1314"/>
          <w:i w:val="0"/>
        </w:rPr>
      </w:pPr>
      <w:r>
        <w:tab/>
      </w:r>
      <w:r>
        <w:rPr>
          <w:rStyle w:val="1314"/>
          <w:i w:val="0"/>
        </w:rPr>
        <w:t xml:space="preserve">Если </w:t>
      </w:r>
      <w:r>
        <w:rPr>
          <w:szCs w:val="24"/>
        </w:rPr>
        <w:t xml:space="preserve">Информация </w:t>
      </w:r>
      <w:r>
        <w:rPr>
          <w:rStyle w:val="1314"/>
          <w:i w:val="0"/>
        </w:rPr>
        <w:t xml:space="preserve">не отображается в ЛК Клиента </w:t>
      </w:r>
      <w:r>
        <w:t xml:space="preserve">/ Заказчика </w:t>
      </w:r>
      <w:r>
        <w:rPr>
          <w:rStyle w:val="1314"/>
          <w:i w:val="0"/>
        </w:rPr>
        <w:t xml:space="preserve">по организации, работающей в НСИ ЭБ, то Клиенту </w:t>
      </w:r>
      <w:r>
        <w:t xml:space="preserve">/ Заказчику </w:t>
      </w:r>
      <w:r>
        <w:rPr>
          <w:rStyle w:val="1314"/>
          <w:i w:val="0"/>
        </w:rPr>
        <w:t xml:space="preserve">необходимо обратиться в ТОФК по месту открытия ЛС, для повторной отправки </w:t>
      </w:r>
      <w:r>
        <w:rPr>
          <w:szCs w:val="24"/>
        </w:rPr>
        <w:t xml:space="preserve">Информации </w:t>
      </w:r>
      <w:r>
        <w:rPr>
          <w:rStyle w:val="1314"/>
          <w:i w:val="0"/>
        </w:rPr>
        <w:t xml:space="preserve">в ЛК Клиента </w:t>
      </w:r>
      <w:r>
        <w:t xml:space="preserve">/ Заказчика</w:t>
      </w:r>
      <w:r>
        <w:rPr>
          <w:rStyle w:val="1314"/>
          <w:i w:val="0"/>
        </w:rPr>
        <w:t xml:space="preserve">. </w:t>
      </w:r>
      <w:r>
        <w:rPr>
          <w:rStyle w:val="1314"/>
          <w:i w:val="0"/>
        </w:rPr>
      </w:r>
    </w:p>
    <w:p>
      <w:pPr>
        <w:pStyle w:val="1307"/>
      </w:pPr>
      <w:r>
        <w:tab/>
      </w:r>
      <w:r>
        <w:rPr>
          <w:rStyle w:val="1314"/>
          <w:i w:val="0"/>
        </w:rPr>
        <w:t xml:space="preserve">Для ТОФК по месту открытия ЛС реализована возможность вручную повторно направить </w:t>
      </w:r>
      <w:r>
        <w:rPr>
          <w:szCs w:val="24"/>
        </w:rPr>
        <w:t xml:space="preserve">Информацию </w:t>
      </w:r>
      <w:r>
        <w:rPr>
          <w:rStyle w:val="1314"/>
          <w:i w:val="0"/>
        </w:rPr>
        <w:t xml:space="preserve">в ЛК Клиента</w:t>
      </w:r>
      <w:r>
        <w:t xml:space="preserve">/ Заказчика</w:t>
      </w:r>
      <w:r>
        <w:rPr>
          <w:rStyle w:val="1314"/>
          <w:i w:val="0"/>
        </w:rPr>
        <w:t xml:space="preserve">, для этого </w:t>
      </w:r>
      <w:r>
        <w:t xml:space="preserve">на СФ формуляра необходимо нажать на кнопку «Отправить уведомление клиенту», и если пользователь Клиента / Заказчика ранее заходил в ЛК, то осуществляется отправка документа «Информация о реквизитах ЛС» Клиенту / Заказчику и Информация </w:t>
      </w:r>
      <w:r>
        <w:rPr>
          <w:rStyle w:val="1314"/>
          <w:i w:val="0"/>
        </w:rPr>
        <w:t xml:space="preserve">переходит в статус «Отправлен».</w:t>
      </w:r>
      <w:r/>
    </w:p>
    <w:p>
      <w:pPr>
        <w:pStyle w:val="1305"/>
        <w:rPr>
          <w:szCs w:val="22"/>
        </w:rPr>
      </w:pPr>
      <w:r>
        <w:t xml:space="preserve">При необходимости можно сформировать печатную форму документа «Информация о</w:t>
      </w:r>
      <w:r>
        <w:rPr>
          <w:szCs w:val="24"/>
        </w:rPr>
        <w:t xml:space="preserve"> реквизитах ЛС</w:t>
      </w:r>
      <w:r>
        <w:t xml:space="preserve">».</w:t>
      </w:r>
      <w:r>
        <w:rPr>
          <w:szCs w:val="22"/>
        </w:rPr>
      </w:r>
    </w:p>
    <w:p>
      <w:pPr>
        <w:pStyle w:val="1284"/>
      </w:pPr>
      <w:r/>
      <w:bookmarkStart w:id="482" w:name="_Toc216435720"/>
      <w:r/>
      <w:bookmarkStart w:id="483" w:name="_Ref216708058"/>
      <w:r/>
      <w:bookmarkStart w:id="484" w:name="_Toc221869919"/>
      <w:r>
        <w:t xml:space="preserve">Документ «Уведомление об открытии (отказе открытия) лицевого счета головному исполнителю (исполнителю)»</w:t>
      </w:r>
      <w:bookmarkEnd w:id="482"/>
      <w:r/>
      <w:bookmarkEnd w:id="483"/>
      <w:r/>
      <w:bookmarkEnd w:id="484"/>
      <w:r/>
      <w:r/>
    </w:p>
    <w:p>
      <w:pPr>
        <w:pStyle w:val="1285"/>
      </w:pPr>
      <w:r>
        <w:t xml:space="preserve">Общая информация</w:t>
      </w:r>
      <w:r/>
    </w:p>
    <w:p>
      <w:pPr>
        <w:pStyle w:val="1305"/>
      </w:pPr>
      <w:r>
        <w:rPr>
          <w:szCs w:val="24"/>
        </w:rPr>
        <w:t xml:space="preserve">Документ «</w:t>
      </w:r>
      <w:r>
        <w:t xml:space="preserve">Уведомление об открытии (отказе открытия) лицевого счета головному исполнителю (исполнителю)</w:t>
      </w:r>
      <w:r>
        <w:rPr>
          <w:szCs w:val="24"/>
        </w:rPr>
        <w:t xml:space="preserve">» </w:t>
      </w:r>
      <w:r>
        <w:t xml:space="preserve">(далее – Уведомление ЛС) </w:t>
      </w:r>
      <w:r>
        <w:rPr>
          <w:szCs w:val="24"/>
        </w:rPr>
        <w:t xml:space="preserve">содержит информацию о результатах произведенной проверки бюджетного мониторинга при открытии лицевого счета участнику</w:t>
      </w:r>
      <w:r>
        <w:t xml:space="preserve"> казначейского сопровождения и предназначен для информирования Клиента, Заказчика и РФМ.</w:t>
      </w:r>
      <w:r/>
    </w:p>
    <w:p>
      <w:pPr>
        <w:pStyle w:val="1306"/>
      </w:pPr>
      <w:r>
        <w:t xml:space="preserve">В соответствии с НПА реализовано несколько типов Уведомлений ЛС по результатам проверки бюджетного мониторинга:</w:t>
      </w:r>
      <w:r/>
    </w:p>
    <w:p>
      <w:pPr>
        <w:pStyle w:val="1296"/>
      </w:pPr>
      <w:r>
        <w:t xml:space="preserve">Приостановление;</w:t>
      </w:r>
      <w:r/>
    </w:p>
    <w:p>
      <w:pPr>
        <w:pStyle w:val="1296"/>
      </w:pPr>
      <w:r>
        <w:t xml:space="preserve">Решение заказчика;</w:t>
      </w:r>
      <w:r/>
    </w:p>
    <w:p>
      <w:pPr>
        <w:pStyle w:val="1296"/>
      </w:pPr>
      <w:r>
        <w:t xml:space="preserve">Открытие ЛС;</w:t>
      </w:r>
      <w:r/>
    </w:p>
    <w:p>
      <w:pPr>
        <w:pStyle w:val="1296"/>
      </w:pPr>
      <w:r>
        <w:t xml:space="preserve">Отказ открытия ЛС;</w:t>
      </w:r>
      <w:r/>
    </w:p>
    <w:p>
      <w:pPr>
        <w:pStyle w:val="1296"/>
      </w:pPr>
      <w:r>
        <w:t xml:space="preserve">Предупреждение (БМ).</w:t>
      </w:r>
      <w:r/>
    </w:p>
    <w:p>
      <w:pPr>
        <w:pStyle w:val="1305"/>
      </w:pPr>
      <w:r>
        <w:t xml:space="preserve">Для просмотра списковой формы формуляра в меню пользоват</w:t>
      </w:r>
      <w:r>
        <w:t xml:space="preserve">еля необходимо выбрать: «Подсистема нормативно-справочной информации» – «Ведение справочников, реестров, классификаторов» – «Книга регистрации лицевых счетов» – «Уведомление об открытии (отказе открытия) лицевого счета головному исполнителю (исполнителю)».</w:t>
      </w:r>
      <w:r/>
    </w:p>
    <w:p>
      <w:pPr>
        <w:pStyle w:val="1305"/>
      </w:pPr>
      <w:r>
        <w:t xml:space="preserve">Реестр записей формуляра представлен в табличной форме с заголовками, списковая форма приведена на рис. </w:t>
      </w:r>
      <w:r>
        <w:fldChar w:fldCharType="begin"/>
      </w:r>
      <w:r>
        <w:instrText xml:space="preserve"> REF _Ref183514329 \h  \* MERGEFORMAT </w:instrText>
      </w:r>
      <w:r>
        <w:fldChar w:fldCharType="separate"/>
      </w:r>
      <w:r>
        <w:t xml:space="preserve">30</w:t>
      </w:r>
      <w:r>
        <w:fldChar w:fldCharType="end"/>
      </w:r>
      <w:r>
        <w:t xml:space="preserve">.</w:t>
      </w:r>
      <w:r/>
    </w:p>
    <w:p>
      <w:pPr>
        <w:pStyle w:val="1293"/>
      </w:pPr>
      <w:r>
        <mc:AlternateContent>
          <mc:Choice Requires="wpg">
            <w:drawing>
              <wp:inline xmlns:wp="http://schemas.openxmlformats.org/drawingml/2006/wordprocessingDrawing" distT="0" distB="0" distL="0" distR="0">
                <wp:extent cx="6120130" cy="965200"/>
                <wp:effectExtent l="0" t="0" r="0" b="6350"/>
                <wp:docPr id="40"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4"/>
                        <a:stretch/>
                      </pic:blipFill>
                      <pic:spPr bwMode="auto">
                        <a:xfrm>
                          <a:off x="0" y="0"/>
                          <a:ext cx="6120130" cy="9652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481.90pt;height:76.00pt;mso-wrap-distance-left:0.00pt;mso-wrap-distance-top:0.00pt;mso-wrap-distance-right:0.00pt;mso-wrap-distance-bottom:0.00pt;" stroked="false">
                <v:path textboxrect="0,0,0,0"/>
                <v:imagedata r:id="rId54" o:title=""/>
              </v:shape>
            </w:pict>
          </mc:Fallback>
        </mc:AlternateContent>
      </w:r>
      <w:r/>
    </w:p>
    <w:p>
      <w:pPr>
        <w:pStyle w:val="1294"/>
      </w:pPr>
      <w:r>
        <w:fldChar w:fldCharType="begin"/>
      </w:r>
      <w:r>
        <w:instrText xml:space="preserve"> SEQ Рисунок \* ARABIC </w:instrText>
      </w:r>
      <w:r>
        <w:fldChar w:fldCharType="separate"/>
      </w:r>
      <w:bookmarkStart w:id="485" w:name="_Ref183514329"/>
      <w:r/>
      <w:bookmarkStart w:id="486" w:name="_Toc163611899"/>
      <w:r/>
      <w:bookmarkStart w:id="487" w:name="_Toc216435620"/>
      <w:r/>
      <w:bookmarkStart w:id="488" w:name="_Toc221869982"/>
      <w:r>
        <w:t xml:space="preserve">30</w:t>
      </w:r>
      <w:bookmarkEnd w:id="485"/>
      <w:r>
        <w:fldChar w:fldCharType="end"/>
      </w:r>
      <w:r>
        <w:t xml:space="preserve">. Списковая форма «Уведомление об открытии (отказе открытия) лицевого счета головному исполнителю (исполнителю)»</w:t>
      </w:r>
      <w:bookmarkEnd w:id="486"/>
      <w:r/>
      <w:bookmarkEnd w:id="487"/>
      <w:r/>
      <w:bookmarkEnd w:id="488"/>
      <w:r/>
      <w:r/>
    </w:p>
    <w:p>
      <w:pPr>
        <w:pStyle w:val="1305"/>
      </w:pPr>
      <w:r>
        <w:t xml:space="preserve">Виз</w:t>
      </w:r>
      <w:r>
        <w:t xml:space="preserve">уальная форма записи формуляра открывается при нажатии на кнопку «Открыть документ на просмотр» или по двойному нажатию по выбранной записи на списковой форме справочника. Визуальная форма записи формуляра «Информация о реквизитах ЛС» представлена на, рис.</w:t>
      </w:r>
      <w:r>
        <w:t xml:space="preserve"> </w:t>
      </w:r>
      <w:r>
        <w:fldChar w:fldCharType="begin"/>
      </w:r>
      <w:r>
        <w:instrText xml:space="preserve"> REF _Ref183514336 \h  \* MERGEFORMAT </w:instrText>
      </w:r>
      <w:r>
        <w:fldChar w:fldCharType="separate"/>
      </w:r>
      <w:r>
        <w:t xml:space="preserve">31</w:t>
      </w:r>
      <w:r>
        <w:fldChar w:fldCharType="end"/>
      </w:r>
      <w:r>
        <w:t xml:space="preserve">.</w:t>
      </w:r>
      <w:r/>
    </w:p>
    <w:p>
      <w:pPr>
        <w:pStyle w:val="1293"/>
      </w:pPr>
      <w:r>
        <mc:AlternateContent>
          <mc:Choice Requires="wpg">
            <w:drawing>
              <wp:inline xmlns:wp="http://schemas.openxmlformats.org/drawingml/2006/wordprocessingDrawing" distT="0" distB="0" distL="0" distR="0">
                <wp:extent cx="6120130" cy="5873750"/>
                <wp:effectExtent l="0" t="0" r="0" b="0"/>
                <wp:docPr id="41"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5"/>
                        <a:stretch/>
                      </pic:blipFill>
                      <pic:spPr bwMode="auto">
                        <a:xfrm>
                          <a:off x="0" y="0"/>
                          <a:ext cx="6120130" cy="58737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481.90pt;height:462.50pt;mso-wrap-distance-left:0.00pt;mso-wrap-distance-top:0.00pt;mso-wrap-distance-right:0.00pt;mso-wrap-distance-bottom:0.00pt;" stroked="false">
                <v:path textboxrect="0,0,0,0"/>
                <v:imagedata r:id="rId55" o:title=""/>
              </v:shape>
            </w:pict>
          </mc:Fallback>
        </mc:AlternateContent>
      </w:r>
      <w:r/>
    </w:p>
    <w:p>
      <w:pPr>
        <w:pStyle w:val="1294"/>
      </w:pPr>
      <w:r>
        <w:fldChar w:fldCharType="begin"/>
      </w:r>
      <w:r>
        <w:instrText xml:space="preserve"> SEQ Рисунок \* ARABIC </w:instrText>
      </w:r>
      <w:r>
        <w:fldChar w:fldCharType="separate"/>
      </w:r>
      <w:bookmarkStart w:id="489" w:name="_Ref183514336"/>
      <w:r/>
      <w:bookmarkStart w:id="490" w:name="_Toc163611900"/>
      <w:r/>
      <w:bookmarkStart w:id="491" w:name="_Toc216435621"/>
      <w:r/>
      <w:bookmarkStart w:id="492" w:name="_Toc221869983"/>
      <w:r>
        <w:t xml:space="preserve">31</w:t>
      </w:r>
      <w:bookmarkEnd w:id="489"/>
      <w:r>
        <w:fldChar w:fldCharType="end"/>
      </w:r>
      <w:r>
        <w:t xml:space="preserve">. Визуальная форма «Уведомление об открытии (отказе открытия) лицевого счета головному исполнителю (исполнителю)»</w:t>
      </w:r>
      <w:bookmarkEnd w:id="490"/>
      <w:r/>
      <w:bookmarkEnd w:id="491"/>
      <w:r/>
      <w:bookmarkEnd w:id="492"/>
      <w:r/>
      <w:r/>
    </w:p>
    <w:p>
      <w:pPr>
        <w:pStyle w:val="1305"/>
      </w:pPr>
      <w:r>
        <w:t xml:space="preserve">Так же, на списковой форме документа «Заявление на изменение Книги регистрации</w:t>
      </w:r>
      <w:r>
        <w:t xml:space="preserve"> лицевых счетов» реализованы реквизиты «Уведомление о приостановлении», «Уведомление о решении заказчика», позволяющие осуществить быстрый переход к визуальной форме Уведомлений ЛС типа «Приостановление» и «Решение заказчика», по выбранному лицевому счету.</w:t>
      </w:r>
      <w:r/>
    </w:p>
    <w:p>
      <w:pPr>
        <w:pStyle w:val="1305"/>
      </w:pPr>
      <w:r>
        <w:t xml:space="preserve">Уведомление ЛС типа «Приостановление», «Решение заказчика», «Открытие ЛС», «Отказ открытия ЛС» формируется автоматически, требует обработки и утверждения пользователем ТОФК / ЦС.</w:t>
      </w:r>
      <w:r/>
    </w:p>
    <w:p>
      <w:pPr>
        <w:pStyle w:val="1305"/>
      </w:pPr>
      <w:r>
        <w:t xml:space="preserve">Уведомление ЛС типа «Предупреждение (БМ)» формируется автоматически, без участия пользователя и НЕ доступно для редактирования.</w:t>
      </w:r>
      <w:r/>
    </w:p>
    <w:p>
      <w:pPr>
        <w:pStyle w:val="1305"/>
        <w:rPr>
          <w:szCs w:val="24"/>
        </w:rPr>
      </w:pPr>
      <w:r>
        <w:rPr>
          <w:szCs w:val="24"/>
        </w:rPr>
        <w:t xml:space="preserve">Уведомление ЛС с типом «Приостановление», «Решение заказчика», «Отказ открытия ЛС», «Предупреждение БМ» доступно в ЛК Клиент, ЛК Заказчика.</w:t>
      </w:r>
      <w:r>
        <w:rPr>
          <w:szCs w:val="24"/>
        </w:rPr>
      </w:r>
    </w:p>
    <w:p>
      <w:pPr>
        <w:pStyle w:val="1305"/>
        <w:rPr>
          <w:szCs w:val="24"/>
        </w:rPr>
      </w:pPr>
      <w:r>
        <w:rPr>
          <w:szCs w:val="24"/>
        </w:rPr>
        <w:t xml:space="preserve">Уведомление ЛС с типом «Открытие ЛС» доступно в ЛК Клиент, ЛК Заказчика, ЛК РФМ.</w:t>
      </w:r>
      <w:r>
        <w:rPr>
          <w:szCs w:val="24"/>
        </w:rPr>
      </w:r>
    </w:p>
    <w:p>
      <w:pPr>
        <w:pStyle w:val="1306"/>
      </w:pPr>
      <w:r>
        <w:t xml:space="preserve">Уведомление ЛС формируется автоматически, при выполнении следующих условий:</w:t>
      </w:r>
      <w:r/>
    </w:p>
    <w:p>
      <w:pPr>
        <w:pStyle w:val="1305"/>
        <w:numPr>
          <w:ilvl w:val="0"/>
          <w:numId w:val="131"/>
        </w:numPr>
        <w:rPr>
          <w:b/>
        </w:rPr>
      </w:pPr>
      <w:r>
        <w:rPr>
          <w:b/>
        </w:rPr>
        <w:t xml:space="preserve">Уведомление ЛС с типом «Приостановление»: </w:t>
      </w:r>
      <w:r>
        <w:rPr>
          <w:b/>
        </w:rPr>
      </w:r>
    </w:p>
    <w:p>
      <w:pPr>
        <w:pStyle w:val="1305"/>
        <w:rPr>
          <w:szCs w:val="24"/>
        </w:rPr>
      </w:pPr>
      <w:r>
        <w:t xml:space="preserve">Уведомление ЛС </w:t>
      </w:r>
      <w:r>
        <w:rPr>
          <w:b/>
        </w:rPr>
        <w:t xml:space="preserve">с типом «Приостановление»</w:t>
      </w:r>
      <w:r>
        <w:t xml:space="preserve"> формируется в случае, когда при обработке документа «Заявление на изменение справочника «Книги регистрации лицевых счетов» выполнено действие </w:t>
      </w:r>
      <w:r>
        <w:rPr>
          <w:szCs w:val="24"/>
        </w:rPr>
        <w:t xml:space="preserve">«</w:t>
      </w:r>
      <w:r>
        <w:t xml:space="preserve">Приостановить</w:t>
      </w:r>
      <w:r>
        <w:rPr>
          <w:szCs w:val="24"/>
        </w:rPr>
        <w:t xml:space="preserve">», в том числе при выявлени</w:t>
      </w:r>
      <w:r>
        <w:rPr>
          <w:szCs w:val="24"/>
        </w:rPr>
        <w:t xml:space="preserve">и</w:t>
      </w:r>
      <w:r>
        <w:rPr>
          <w:szCs w:val="24"/>
        </w:rPr>
        <w:t xml:space="preserve"> меры реагирования «</w:t>
      </w:r>
      <w:r>
        <w:t xml:space="preserve">72 – Приостановление открытия счета</w:t>
      </w:r>
      <w:r>
        <w:rPr>
          <w:szCs w:val="24"/>
        </w:rPr>
        <w:t xml:space="preserve">».</w:t>
      </w:r>
      <w:r>
        <w:rPr>
          <w:szCs w:val="24"/>
        </w:rPr>
      </w:r>
    </w:p>
    <w:p>
      <w:pPr>
        <w:pStyle w:val="1305"/>
        <w:numPr>
          <w:ilvl w:val="0"/>
          <w:numId w:val="131"/>
        </w:numPr>
        <w:rPr>
          <w:b/>
        </w:rPr>
      </w:pPr>
      <w:r>
        <w:rPr>
          <w:b/>
        </w:rPr>
        <w:t xml:space="preserve">Уведомление ЛС с типом «Решение заказчика»: </w:t>
      </w:r>
      <w:r>
        <w:rPr>
          <w:b/>
        </w:rPr>
      </w:r>
    </w:p>
    <w:p>
      <w:pPr>
        <w:pStyle w:val="1305"/>
        <w:rPr>
          <w:szCs w:val="24"/>
        </w:rPr>
      </w:pPr>
      <w:r>
        <w:t xml:space="preserve">Уведомление ЛС </w:t>
      </w:r>
      <w:r>
        <w:rPr>
          <w:b/>
        </w:rPr>
        <w:t xml:space="preserve">с типом «Решение заказчика»</w:t>
      </w:r>
      <w:r>
        <w:t xml:space="preserve"> в статусе «Создан» формируется автоматически в результат</w:t>
      </w:r>
      <w:r>
        <w:t xml:space="preserve">е рассмотрения Заказчиком документа «Уведомление об открытии (отказе открытия) лицевого счета головному исполнителю (исполнителю)» с типом «Приостановление» и в установленные сроки (2 дня) было выполнено действие «Подтвердить открытие» или «Отказ открытия»</w:t>
      </w:r>
      <w:r>
        <w:rPr>
          <w:szCs w:val="24"/>
        </w:rPr>
        <w:t xml:space="preserve">. При создании видимость формуляра передается в ЛК Заказчика.</w:t>
      </w:r>
      <w:r>
        <w:rPr>
          <w:szCs w:val="24"/>
        </w:rPr>
      </w:r>
    </w:p>
    <w:p>
      <w:pPr>
        <w:pStyle w:val="1305"/>
      </w:pPr>
      <w:r>
        <w:t xml:space="preserve">После создания Уведомление ЛС необходимо обработать и утвердить (п.</w:t>
      </w:r>
      <w:r>
        <w:t xml:space="preserve"> </w:t>
      </w:r>
      <w:r>
        <w:t xml:space="preserve">4.2.</w:t>
      </w:r>
      <w:r>
        <w:t xml:space="preserve">7</w:t>
      </w:r>
      <w:r>
        <w:t xml:space="preserve">.5.</w:t>
      </w:r>
      <w:r>
        <w:t xml:space="preserve">2</w:t>
      </w:r>
      <w:r>
        <w:t xml:space="preserve">).</w:t>
      </w:r>
      <w:r/>
    </w:p>
    <w:p>
      <w:pPr>
        <w:pStyle w:val="1306"/>
      </w:pPr>
      <w:r>
        <w:t xml:space="preserve">Условия отображения </w:t>
      </w:r>
      <w:r>
        <w:rPr>
          <w:szCs w:val="24"/>
        </w:rPr>
        <w:t xml:space="preserve">кнопок </w:t>
      </w:r>
      <w:r>
        <w:t xml:space="preserve">«Подтвердить открытие» или «Отказ открытия» </w:t>
      </w:r>
      <w:r>
        <w:rPr>
          <w:szCs w:val="24"/>
        </w:rPr>
        <w:t xml:space="preserve">на списковой форме </w:t>
      </w:r>
      <w:r>
        <w:t xml:space="preserve">Уведомления </w:t>
      </w:r>
      <w:r>
        <w:rPr>
          <w:szCs w:val="24"/>
        </w:rPr>
        <w:t xml:space="preserve">ЛС</w:t>
      </w:r>
      <w:r>
        <w:t xml:space="preserve"> (И):</w:t>
      </w:r>
      <w:r/>
    </w:p>
    <w:p>
      <w:pPr>
        <w:pStyle w:val="1296"/>
        <w:rPr>
          <w:rStyle w:val="1314"/>
          <w:i w:val="0"/>
        </w:rPr>
      </w:pPr>
      <w:r>
        <w:rPr>
          <w:rStyle w:val="1314"/>
          <w:i w:val="0"/>
        </w:rPr>
        <w:t xml:space="preserve">Выделен один документ с типом «Приостановление» и статусом «Утвержден»; </w:t>
      </w:r>
      <w:r>
        <w:rPr>
          <w:rStyle w:val="1314"/>
          <w:i w:val="0"/>
        </w:rPr>
      </w:r>
    </w:p>
    <w:p>
      <w:pPr>
        <w:pStyle w:val="1296"/>
        <w:rPr>
          <w:rStyle w:val="1314"/>
          <w:i w:val="0"/>
        </w:rPr>
      </w:pPr>
      <w:r>
        <w:rPr>
          <w:rStyle w:val="1314"/>
          <w:i w:val="0"/>
        </w:rPr>
        <w:t xml:space="preserve">Код организации текущего пользователя = Коду организации Заказчика (реквизит «Код по СвР ГЗ/ГИ/ИЗ»);</w:t>
      </w:r>
      <w:r>
        <w:rPr>
          <w:rStyle w:val="1314"/>
          <w:i w:val="0"/>
        </w:rPr>
      </w:r>
    </w:p>
    <w:p>
      <w:pPr>
        <w:pStyle w:val="1296"/>
        <w:rPr>
          <w:rStyle w:val="1314"/>
          <w:i w:val="0"/>
        </w:rPr>
      </w:pPr>
      <w:r>
        <w:rPr>
          <w:rStyle w:val="1314"/>
          <w:i w:val="0"/>
        </w:rPr>
        <w:t xml:space="preserve">по выбранной записи ранее не формировалось У</w:t>
      </w:r>
      <w:r>
        <w:rPr>
          <w:rStyle w:val="1314"/>
          <w:i w:val="0"/>
        </w:rPr>
        <w:t xml:space="preserve">ведомление ЛС данного типа (осуществляется проверка по ГУИД: «Глобальный уникальный идентификатор документа, на который сформировано Уведомление» = «Глобальный уникальный идентификатор документа, на который сформировано Уведомление» выделенного документа);</w:t>
      </w:r>
      <w:r>
        <w:rPr>
          <w:rStyle w:val="1314"/>
          <w:i w:val="0"/>
        </w:rPr>
      </w:r>
    </w:p>
    <w:p>
      <w:pPr>
        <w:pStyle w:val="1296"/>
        <w:rPr>
          <w:rStyle w:val="1314"/>
          <w:i w:val="0"/>
        </w:rPr>
      </w:pPr>
      <w:r>
        <w:rPr>
          <w:rStyle w:val="1314"/>
          <w:i w:val="0"/>
        </w:rPr>
        <w:t xml:space="preserve">статус родительского документа «Заявление на изменение справочника «Книга регистрации лицевых счетов» не конечный (конечный статус: «Отклонен (сформирован протокол)» или «Утвержден», т.е. по заявке принято окончательное решение, реше</w:t>
      </w:r>
      <w:r>
        <w:rPr>
          <w:rStyle w:val="1314"/>
          <w:i w:val="0"/>
        </w:rPr>
        <w:t xml:space="preserve">ние заказчика не требуется, открытие лицевого счета происходит через 2 дня после формирования уведомления о приостановлении, связь с родительским документом по реквизиту «Глобальный уникальный идентификатор документа, на который сформировано Уведомление»).</w:t>
      </w:r>
      <w:r>
        <w:rPr>
          <w:rStyle w:val="1314"/>
          <w:i w:val="0"/>
        </w:rPr>
      </w:r>
    </w:p>
    <w:p>
      <w:pPr>
        <w:pStyle w:val="1305"/>
        <w:numPr>
          <w:ilvl w:val="0"/>
          <w:numId w:val="131"/>
        </w:numPr>
        <w:rPr>
          <w:b/>
        </w:rPr>
      </w:pPr>
      <w:r>
        <w:rPr>
          <w:b/>
        </w:rPr>
        <w:t xml:space="preserve">Уведомление ЛС с типом «Открытие ЛС»: </w:t>
      </w:r>
      <w:r>
        <w:rPr>
          <w:b/>
        </w:rPr>
      </w:r>
    </w:p>
    <w:p>
      <w:pPr>
        <w:pStyle w:val="1305"/>
      </w:pPr>
      <w:r>
        <w:t xml:space="preserve">Уведомление ЛС </w:t>
      </w:r>
      <w:r>
        <w:rPr>
          <w:b/>
        </w:rPr>
        <w:t xml:space="preserve">с типом «Открытие ЛС»</w:t>
      </w:r>
      <w:r>
        <w:t xml:space="preserve"> формируется в результате утверждения Пользователем ТОФК / ЦС документа «Заявление на изменение справочника «Книги регистрации лицевых счетов», по которому ранее было принято решение о приостан</w:t>
      </w:r>
      <w:r>
        <w:t xml:space="preserve">овлении и Заказчиком в установленный срок принято решение об открытии лицевого счета ИЛИ решение принято ТОФК, по истечении установленного срока ожидания решения Заказчика (2 дня) с момента выявления меры реагирования «72 – Приостановление открытия счета».</w:t>
      </w:r>
      <w:r>
        <w:rPr>
          <w:szCs w:val="24"/>
        </w:rPr>
        <w:t xml:space="preserve"> </w:t>
      </w:r>
      <w:r/>
    </w:p>
    <w:p>
      <w:pPr>
        <w:pStyle w:val="1305"/>
        <w:numPr>
          <w:ilvl w:val="0"/>
          <w:numId w:val="131"/>
        </w:numPr>
        <w:rPr>
          <w:b/>
        </w:rPr>
      </w:pPr>
      <w:r>
        <w:rPr>
          <w:b/>
        </w:rPr>
        <w:t xml:space="preserve">Уведомление ЛС с типом «Отказ открытия ЛС»: </w:t>
      </w:r>
      <w:r>
        <w:rPr>
          <w:b/>
        </w:rPr>
      </w:r>
    </w:p>
    <w:p>
      <w:pPr>
        <w:pStyle w:val="1305"/>
      </w:pPr>
      <w:r>
        <w:t xml:space="preserve">Уведомление ЛС </w:t>
      </w:r>
      <w:r>
        <w:rPr>
          <w:b/>
        </w:rPr>
        <w:t xml:space="preserve">с типом «Отказ открытия ЛС»</w:t>
      </w:r>
      <w:r>
        <w:t xml:space="preserve"> формируется в результате принятия решения об отказе в открытии лицевого счета, по документу «Заявление на изменение справочника «Книги регистрации лицевых счетов» выполнено действие </w:t>
      </w:r>
      <w:r>
        <w:rPr>
          <w:szCs w:val="24"/>
        </w:rPr>
        <w:t xml:space="preserve">«</w:t>
      </w:r>
      <w:r>
        <w:t xml:space="preserve">Отказать, сформировать протокол</w:t>
      </w:r>
      <w:r>
        <w:rPr>
          <w:szCs w:val="24"/>
        </w:rPr>
        <w:t xml:space="preserve">», в том числе при выявлении меры реагирования </w:t>
      </w:r>
      <w:r>
        <w:t xml:space="preserve">«71 – Отказ в открытии счета» ИЛИ при выявлении меры реагирования «72 – Приостановление открытия счета» и принятия Заказчиком решения об отказе в открытии лицевого счета</w:t>
      </w:r>
      <w:r>
        <w:rPr>
          <w:szCs w:val="24"/>
        </w:rPr>
        <w:t xml:space="preserve">. </w:t>
      </w:r>
      <w:r/>
    </w:p>
    <w:p>
      <w:pPr>
        <w:pStyle w:val="1305"/>
        <w:numPr>
          <w:ilvl w:val="0"/>
          <w:numId w:val="131"/>
        </w:numPr>
        <w:rPr>
          <w:b/>
        </w:rPr>
      </w:pPr>
      <w:r>
        <w:rPr>
          <w:b/>
        </w:rPr>
        <w:t xml:space="preserve">Уведомление ЛС с типом «Предупреждение (БМ)»: </w:t>
      </w:r>
      <w:r>
        <w:rPr>
          <w:b/>
        </w:rPr>
      </w:r>
    </w:p>
    <w:p>
      <w:pPr>
        <w:pStyle w:val="1305"/>
        <w:rPr>
          <w:szCs w:val="24"/>
        </w:rPr>
      </w:pPr>
      <w:r>
        <w:t xml:space="preserve">Уведомление ЛС </w:t>
      </w:r>
      <w:r>
        <w:rPr>
          <w:b/>
        </w:rPr>
        <w:t xml:space="preserve">с типом «Предупреждение (БМ)»</w:t>
      </w:r>
      <w:r>
        <w:t xml:space="preserve"> формируется в результате утверждения Пользователем ТОФК / ЦС документа «Заявление на изменение справочника «Книги регистрации лицевых счетов», при</w:t>
      </w:r>
      <w:r>
        <w:rPr>
          <w:szCs w:val="24"/>
        </w:rPr>
        <w:t xml:space="preserve"> выявлении меры реагирования «</w:t>
      </w:r>
      <w:r>
        <w:t xml:space="preserve">73 – Предупреждение (информирование)</w:t>
      </w:r>
      <w:r>
        <w:rPr>
          <w:szCs w:val="24"/>
        </w:rPr>
        <w:t xml:space="preserve">». </w:t>
      </w:r>
      <w:r>
        <w:rPr>
          <w:szCs w:val="24"/>
        </w:rPr>
      </w:r>
    </w:p>
    <w:p>
      <w:pPr>
        <w:pStyle w:val="1306"/>
      </w:pPr>
      <w:r>
        <w:t xml:space="preserve">При необходимости можно сформировать печатную форму документа «Уведомление об открытии (отказе открытия) лицевого счета головному исполнителю (исполнителю)»:</w:t>
      </w:r>
      <w:r/>
    </w:p>
    <w:p>
      <w:pPr>
        <w:pStyle w:val="1296"/>
      </w:pPr>
      <w:r>
        <w:t xml:space="preserve">(ф0531361) Уведомление о приостановлении открытия ЛС;</w:t>
      </w:r>
      <w:r/>
    </w:p>
    <w:p>
      <w:pPr>
        <w:pStyle w:val="1296"/>
      </w:pPr>
      <w:r>
        <w:t xml:space="preserve">(ф0531362) Информация о подтверждении открытия лицевого счета или об отказе в его открытии;</w:t>
      </w:r>
      <w:r/>
    </w:p>
    <w:p>
      <w:pPr>
        <w:pStyle w:val="1296"/>
      </w:pPr>
      <w:r>
        <w:t xml:space="preserve">(ф0531363) Уведомление об отказе в открытии лицевого счета (об открытии лицевого счета после приостановления его открытия);</w:t>
      </w:r>
      <w:r/>
    </w:p>
    <w:p>
      <w:pPr>
        <w:pStyle w:val="1296"/>
        <w:rPr>
          <w:szCs w:val="24"/>
        </w:rPr>
      </w:pPr>
      <w:r>
        <w:t xml:space="preserve">(ф0531378) Предупреждение (информирование) о наличии признаков финансовых нарушений при открытии участниками казначейского сопровождения лицевых счетов.</w:t>
      </w:r>
      <w:r>
        <w:rPr>
          <w:szCs w:val="24"/>
        </w:rPr>
      </w:r>
    </w:p>
    <w:p>
      <w:pPr>
        <w:pStyle w:val="1285"/>
      </w:pPr>
      <w:r>
        <w:t xml:space="preserve">Обработка и утверждение формуляра</w:t>
      </w:r>
      <w:r/>
    </w:p>
    <w:p>
      <w:pPr>
        <w:pStyle w:val="1305"/>
      </w:pPr>
      <w:r/>
      <w:bookmarkStart w:id="493" w:name="_Hlk216436724"/>
      <w:r>
        <w:t xml:space="preserve">Пользователю Заказчика необходимо обработать Уведомление ЛС типа «Приостановление» в статусе «Утвержден», сформировать на его основании решение.</w:t>
      </w:r>
      <w:r/>
    </w:p>
    <w:p>
      <w:pPr>
        <w:pStyle w:val="1306"/>
      </w:pPr>
      <w:r>
        <w:t xml:space="preserve">Для обработки Уведомление ЛС необходимо выполнить следующие действия:</w:t>
      </w:r>
      <w:r/>
    </w:p>
    <w:p>
      <w:pPr>
        <w:pStyle w:val="1296"/>
      </w:pPr>
      <w:r>
        <w:t xml:space="preserve">зайти в ЛК ЭБ</w:t>
      </w:r>
      <w:r>
        <w:t xml:space="preserve"> НСИ и перейти в раздел «Подсистема нормативно-справочной информации» – «Ведение справочников, реестров, классификаторов» – «Книга регистрации лицевых счетов» – «Уведомление об открытии (отказе открытия) лицевого счета головному исполнителю (исполнителю)»;</w:t>
      </w:r>
      <w:r/>
    </w:p>
    <w:p>
      <w:pPr>
        <w:pStyle w:val="1296"/>
      </w:pPr>
      <w:r>
        <w:t xml:space="preserve">в реестре выбрать необходимое </w:t>
      </w:r>
      <w:r>
        <w:rPr>
          <w:rStyle w:val="1314"/>
          <w:i w:val="0"/>
        </w:rPr>
        <w:t xml:space="preserve">Уведомление ЛС </w:t>
      </w:r>
      <w:r>
        <w:t xml:space="preserve">типа «Приостановление»;</w:t>
      </w:r>
      <w:r/>
    </w:p>
    <w:p>
      <w:pPr>
        <w:pStyle w:val="1296"/>
      </w:pPr>
      <w:r>
        <w:t xml:space="preserve">нажать кнопку «Подтвердить открытие» или «Отказ открытия» (указав причину отказа), в зависимости от принятого решения.</w:t>
      </w:r>
      <w:r/>
    </w:p>
    <w:p>
      <w:pPr>
        <w:pStyle w:val="1305"/>
      </w:pPr>
      <w:r>
        <w:t xml:space="preserve">Уведомление ЛС типа «Решение заказчика» создано в статусе «Создан» и готов к выполнению дальнейший действий. </w:t>
      </w:r>
      <w:r/>
    </w:p>
    <w:p>
      <w:pPr>
        <w:pStyle w:val="1306"/>
      </w:pPr>
      <w:r>
        <w:t xml:space="preserve">Далее Пользователь Заказчика обрабатывает Уведомление ЛС, для этого необходимо выполнить следующие действия: </w:t>
      </w:r>
      <w:r/>
    </w:p>
    <w:p>
      <w:pPr>
        <w:pStyle w:val="1296"/>
      </w:pPr>
      <w:r>
        <w:t xml:space="preserve">в реестре выбрать необходимое </w:t>
      </w:r>
      <w:r>
        <w:rPr>
          <w:rStyle w:val="1314"/>
          <w:i w:val="0"/>
        </w:rPr>
        <w:t xml:space="preserve">Уведомление ЛС </w:t>
      </w:r>
      <w:r>
        <w:t xml:space="preserve">типа «Решение заказчика»;</w:t>
      </w:r>
      <w:r/>
    </w:p>
    <w:p>
      <w:pPr>
        <w:pStyle w:val="1296"/>
      </w:pPr>
      <w:r>
        <w:t xml:space="preserve">нажать кнопку </w:t>
      </w:r>
      <w:r>
        <mc:AlternateContent>
          <mc:Choice Requires="wpg">
            <w:drawing>
              <wp:inline xmlns:wp="http://schemas.openxmlformats.org/drawingml/2006/wordprocessingDrawing" distT="0" distB="0" distL="0" distR="0">
                <wp:extent cx="314286" cy="285714"/>
                <wp:effectExtent l="0" t="0" r="0" b="635"/>
                <wp:docPr id="42"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6"/>
                        <a:stretch/>
                      </pic:blipFill>
                      <pic:spPr bwMode="auto">
                        <a:xfrm>
                          <a:off x="0" y="0"/>
                          <a:ext cx="314286" cy="28571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width:24.75pt;height:22.50pt;mso-wrap-distance-left:0.00pt;mso-wrap-distance-top:0.00pt;mso-wrap-distance-right:0.00pt;mso-wrap-distance-bottom:0.00pt;" stroked="false">
                <v:path textboxrect="0,0,0,0"/>
                <v:imagedata r:id="rId56" o:title=""/>
              </v:shape>
            </w:pict>
          </mc:Fallback>
        </mc:AlternateContent>
      </w:r>
      <w:r>
        <w:t xml:space="preserve"> «Открыть документ на редактирование»;</w:t>
      </w:r>
      <w:r/>
    </w:p>
    <w:p>
      <w:pPr>
        <w:pStyle w:val="1296"/>
      </w:pPr>
      <w:r>
        <w:t xml:space="preserve">в открывшейся форме формуляра заполнить все обязательные атрибуты;</w:t>
      </w:r>
      <w:r/>
    </w:p>
    <w:p>
      <w:pPr>
        <w:pStyle w:val="1296"/>
      </w:pPr>
      <w:r>
        <w:t xml:space="preserve">в форме формуляра нажать кнопку «Сохранить и закрыть».</w:t>
      </w:r>
      <w:r/>
    </w:p>
    <w:p>
      <w:pPr>
        <w:pStyle w:val="1305"/>
      </w:pPr>
      <w:r>
        <w:t xml:space="preserve">Уведомление ЛС типа «Решение заказчика» сохранено в статусе «Создан» и готов к выполнению дальнейший действий. </w:t>
      </w:r>
      <w:r/>
    </w:p>
    <w:p>
      <w:pPr>
        <w:pStyle w:val="1306"/>
      </w:pPr>
      <w:r>
        <w:t xml:space="preserve">Далее Пользователь Заказчика утверждает Уведомление ЛС, для этого необходимо выполнить следующие действия: </w:t>
      </w:r>
      <w:r/>
    </w:p>
    <w:p>
      <w:pPr>
        <w:pStyle w:val="1296"/>
      </w:pPr>
      <w:r>
        <w:t xml:space="preserve">зайти в ЛК ЭБ</w:t>
      </w:r>
      <w:r>
        <w:t xml:space="preserve"> НСИ и перейти в раздел «Подсистема нормативно-справочной информации» – «Ведение справочников, реестров, классификаторов» – «Книга регистрации лицевых счетов» – «Уведомление об открытии (отказе открытия) лицевого счета головному исполнителю (исполнителю)»;</w:t>
      </w:r>
      <w:r/>
    </w:p>
    <w:p>
      <w:pPr>
        <w:pStyle w:val="1296"/>
      </w:pPr>
      <w:r>
        <w:t xml:space="preserve">в реестре выбрать необходимое </w:t>
      </w:r>
      <w:r>
        <w:rPr>
          <w:rStyle w:val="1314"/>
          <w:i w:val="0"/>
        </w:rPr>
        <w:t xml:space="preserve">Уведомление ЛС типа «Решение заказчика» </w:t>
      </w:r>
      <w:r>
        <w:t xml:space="preserve">в статусе «Создан»;</w:t>
      </w:r>
      <w:r/>
    </w:p>
    <w:p>
      <w:pPr>
        <w:pStyle w:val="1296"/>
      </w:pPr>
      <w:r>
        <w:t xml:space="preserve">нажать на кнопку «Утвердить документ».</w:t>
      </w:r>
      <w:r/>
    </w:p>
    <w:p>
      <w:pPr>
        <w:pStyle w:val="1305"/>
      </w:pPr>
      <w:r>
        <w:t xml:space="preserve">После утверждения </w:t>
      </w:r>
      <w:r>
        <w:rPr>
          <w:rStyle w:val="1314"/>
          <w:i w:val="0"/>
        </w:rPr>
        <w:t xml:space="preserve">Уведомление ЛС </w:t>
      </w:r>
      <w:r>
        <w:t xml:space="preserve">типа «</w:t>
      </w:r>
      <w:r>
        <w:rPr>
          <w:rStyle w:val="1314"/>
          <w:i w:val="0"/>
        </w:rPr>
        <w:t xml:space="preserve">Решение заказчика</w:t>
      </w:r>
      <w:r>
        <w:t xml:space="preserve">» переходит из статуса «Создан» в статус «Утвержден»</w:t>
      </w:r>
      <w:r>
        <w:rPr>
          <w:rStyle w:val="1314"/>
          <w:i w:val="0"/>
        </w:rPr>
        <w:t xml:space="preserve">, при этом </w:t>
      </w:r>
      <w:r>
        <w:t xml:space="preserve">видимость формуляра передается в ЛК </w:t>
      </w:r>
      <w:r>
        <w:rPr>
          <w:rStyle w:val="1314"/>
          <w:i w:val="0"/>
        </w:rPr>
        <w:t xml:space="preserve">Клиента, ЛК </w:t>
      </w:r>
      <w:r>
        <w:rPr>
          <w:szCs w:val="24"/>
        </w:rPr>
        <w:t xml:space="preserve">ТОФК по месту открытия ЛС</w:t>
      </w:r>
      <w:r>
        <w:rPr>
          <w:rStyle w:val="1314"/>
          <w:i w:val="0"/>
        </w:rPr>
        <w:t xml:space="preserve">.</w:t>
      </w:r>
      <w:bookmarkEnd w:id="493"/>
      <w:r/>
    </w:p>
    <w:p>
      <w:pPr>
        <w:pStyle w:val="1285"/>
      </w:pPr>
      <w:r>
        <w:t xml:space="preserve">Реквизитный состав записи формуляра</w:t>
      </w:r>
      <w:r/>
    </w:p>
    <w:p>
      <w:pPr>
        <w:pStyle w:val="1305"/>
      </w:pPr>
      <w:r>
        <w:t xml:space="preserve">Описание реквизитного состава приведено в таблице </w:t>
      </w:r>
      <w:r>
        <w:fldChar w:fldCharType="begin"/>
      </w:r>
      <w:r>
        <w:instrText xml:space="preserve"> REF _Ref35693809 \h  \* MERGEFORMAT </w:instrText>
      </w:r>
      <w:r>
        <w:fldChar w:fldCharType="separate"/>
      </w:r>
      <w:r>
        <w:t xml:space="preserve">6</w:t>
      </w:r>
      <w:r>
        <w:fldChar w:fldCharType="end"/>
      </w:r>
      <w:r>
        <w:t xml:space="preserve">. </w:t>
      </w:r>
      <w:r/>
    </w:p>
    <w:p>
      <w:pPr>
        <w:pStyle w:val="1304"/>
        <w:tabs>
          <w:tab w:val="num" w:pos="1701" w:leader="none"/>
        </w:tabs>
      </w:pPr>
      <w:r/>
      <w:bookmarkStart w:id="494" w:name="_Toc163674578"/>
      <w:r/>
      <w:bookmarkEnd w:id="494"/>
      <w:r>
        <w:fldChar w:fldCharType="begin"/>
      </w:r>
      <w:r>
        <w:instrText xml:space="preserve"> SEQ Таблица \* ARABIC </w:instrText>
      </w:r>
      <w:r>
        <w:fldChar w:fldCharType="separate"/>
      </w:r>
      <w:bookmarkStart w:id="495" w:name="_Ref35693809"/>
      <w:r/>
      <w:bookmarkStart w:id="496" w:name="_Toc216435565"/>
      <w:r/>
      <w:bookmarkStart w:id="497" w:name="_Toc221869947"/>
      <w:r>
        <w:t xml:space="preserve">6</w:t>
      </w:r>
      <w:bookmarkEnd w:id="495"/>
      <w:r>
        <w:fldChar w:fldCharType="end"/>
      </w:r>
      <w:r>
        <w:t xml:space="preserve">. Сведения о форме записи формуляра «Уведомление при открытии лицевого счета при казначейском сопровождении средств»</w:t>
      </w:r>
      <w:bookmarkEnd w:id="496"/>
      <w:r/>
      <w:bookmarkEnd w:id="497"/>
      <w:r/>
      <w:r/>
    </w:p>
    <w:tbl>
      <w:tblPr>
        <w:tblStyle w:val="1315"/>
        <w:tblW w:w="5000" w:type="pct"/>
        <w:tblLook w:val="00A0" w:firstRow="1" w:lastRow="0" w:firstColumn="1" w:lastColumn="0" w:noHBand="0" w:noVBand="0"/>
      </w:tblPr>
      <w:tblGrid>
        <w:gridCol w:w="2296"/>
        <w:gridCol w:w="1702"/>
        <w:gridCol w:w="5696"/>
      </w:tblGrid>
      <w:tr>
        <w:tblPrEx/>
        <w:trPr/>
        <w:tc>
          <w:tcPr>
            <w:tcW w:w="1184" w:type="pct"/>
            <w:textDirection w:val="lrTb"/>
            <w:noWrap w:val="false"/>
          </w:tcPr>
          <w:p>
            <w:pPr>
              <w:pStyle w:val="1317"/>
            </w:pPr>
            <w:r>
              <w:t xml:space="preserve">Наименование реквизита</w:t>
            </w:r>
            <w:r/>
          </w:p>
        </w:tc>
        <w:tc>
          <w:tcPr>
            <w:tcW w:w="878" w:type="pct"/>
            <w:textDirection w:val="lrTb"/>
            <w:noWrap w:val="false"/>
          </w:tcPr>
          <w:p>
            <w:pPr>
              <w:pStyle w:val="1317"/>
            </w:pPr>
            <w:r>
              <w:t xml:space="preserve">Обязательность заполнения</w:t>
            </w:r>
            <w:r/>
          </w:p>
        </w:tc>
        <w:tc>
          <w:tcPr>
            <w:tcW w:w="2938" w:type="pct"/>
            <w:textDirection w:val="lrTb"/>
            <w:noWrap w:val="false"/>
          </w:tcPr>
          <w:p>
            <w:pPr>
              <w:pStyle w:val="1317"/>
            </w:pPr>
            <w:r>
              <w:t xml:space="preserve">Правила заполнения реквизита</w:t>
            </w:r>
            <w:r/>
          </w:p>
        </w:tc>
      </w:tr>
      <w:tr>
        <w:tblPrEx/>
        <w:trPr/>
        <w:tc>
          <w:tcPr>
            <w:tcW w:w="1184" w:type="pct"/>
            <w:textDirection w:val="lrTb"/>
            <w:noWrap w:val="false"/>
          </w:tcPr>
          <w:p>
            <w:pPr>
              <w:pStyle w:val="1316"/>
            </w:pPr>
            <w:r/>
            <w:bookmarkStart w:id="498" w:name="OLE_LINK44"/>
            <w:r/>
            <w:bookmarkStart w:id="499" w:name="OLE_LINK51"/>
            <w:r/>
            <w:bookmarkStart w:id="500" w:name="OLE_LINK52"/>
            <w:r/>
            <w:bookmarkStart w:id="501" w:name="OLE_LINK53"/>
            <w:r>
              <w:rPr>
                <w:szCs w:val="22"/>
              </w:rPr>
              <w:t xml:space="preserve">Глобальный уникальный идентификатор</w:t>
            </w:r>
            <w:bookmarkEnd w:id="498"/>
            <w:r/>
            <w:bookmarkEnd w:id="499"/>
            <w:r/>
            <w:bookmarkEnd w:id="500"/>
            <w:r/>
            <w:bookmarkEnd w:id="501"/>
            <w:r/>
            <w:r/>
          </w:p>
        </w:tc>
        <w:tc>
          <w:tcPr>
            <w:tcW w:w="878" w:type="pct"/>
            <w:textDirection w:val="lrTb"/>
            <w:noWrap w:val="false"/>
          </w:tcPr>
          <w:p>
            <w:pPr>
              <w:pStyle w:val="1316"/>
            </w:pPr>
            <w:r>
              <w:rPr>
                <w:szCs w:val="22"/>
              </w:rPr>
              <w:t xml:space="preserve">Да</w:t>
            </w:r>
            <w:r/>
          </w:p>
        </w:tc>
        <w:tc>
          <w:tcPr>
            <w:tcW w:w="2938" w:type="pct"/>
            <w:textDirection w:val="lrTb"/>
            <w:noWrap w:val="false"/>
          </w:tcPr>
          <w:p>
            <w:pPr>
              <w:pStyle w:val="1316"/>
              <w:rPr>
                <w:szCs w:val="22"/>
              </w:rPr>
            </w:pPr>
            <w:r>
              <w:rPr>
                <w:szCs w:val="22"/>
              </w:rPr>
              <w:t xml:space="preserve">Глобальным идентификатором записи.</w:t>
            </w:r>
            <w:r>
              <w:rPr>
                <w:szCs w:val="22"/>
              </w:rPr>
            </w:r>
          </w:p>
          <w:p>
            <w:pPr>
              <w:pStyle w:val="1316"/>
            </w:pPr>
            <w:r>
              <w:rPr>
                <w:szCs w:val="22"/>
              </w:rPr>
              <w:t xml:space="preserve">Заполняется автоматически</w:t>
            </w:r>
            <w:r/>
          </w:p>
        </w:tc>
      </w:tr>
      <w:tr>
        <w:tblPrEx/>
        <w:trPr/>
        <w:tc>
          <w:tcPr>
            <w:tcW w:w="1184" w:type="pct"/>
            <w:textDirection w:val="lrTb"/>
            <w:noWrap w:val="false"/>
          </w:tcPr>
          <w:p>
            <w:pPr>
              <w:pStyle w:val="1316"/>
            </w:pPr>
            <w:r>
              <w:t xml:space="preserve">Тип уведомления</w:t>
            </w:r>
            <w:r/>
          </w:p>
        </w:tc>
        <w:tc>
          <w:tcPr>
            <w:tcW w:w="878" w:type="pct"/>
            <w:textDirection w:val="lrTb"/>
            <w:noWrap w:val="false"/>
          </w:tcPr>
          <w:p>
            <w:pPr>
              <w:pStyle w:val="1316"/>
            </w:pPr>
            <w:r>
              <w:t xml:space="preserve">Да</w:t>
            </w:r>
            <w:r/>
          </w:p>
        </w:tc>
        <w:tc>
          <w:tcPr>
            <w:tcW w:w="2938" w:type="pct"/>
            <w:textDirection w:val="lrTb"/>
            <w:noWrap w:val="false"/>
          </w:tcPr>
          <w:p>
            <w:pPr>
              <w:pStyle w:val="1316"/>
              <w:rPr>
                <w:szCs w:val="22"/>
              </w:rPr>
            </w:pPr>
            <w:r/>
            <w:bookmarkStart w:id="502" w:name="_Hlk63678788"/>
            <w:r>
              <w:rPr>
                <w:szCs w:val="22"/>
              </w:rPr>
              <w:t xml:space="preserve">Указывается тип Уведомления.</w:t>
            </w:r>
            <w:r>
              <w:rPr>
                <w:szCs w:val="22"/>
              </w:rPr>
            </w:r>
          </w:p>
          <w:p>
            <w:pPr>
              <w:pStyle w:val="1316"/>
              <w:rPr>
                <w:szCs w:val="22"/>
              </w:rPr>
            </w:pPr>
            <w:r>
              <w:rPr>
                <w:szCs w:val="22"/>
              </w:rPr>
              <w:t xml:space="preserve">Заполняется автоматически (условия определения статуса описаны в п. 5), возможные значения: </w:t>
            </w:r>
            <w:r>
              <w:rPr>
                <w:szCs w:val="22"/>
              </w:rPr>
            </w:r>
          </w:p>
          <w:p>
            <w:pPr>
              <w:pStyle w:val="1318"/>
              <w:ind w:left="340" w:hanging="227"/>
              <w:tabs>
                <w:tab w:val="num" w:pos="340" w:leader="none"/>
              </w:tabs>
            </w:pPr>
            <w:r>
              <w:t xml:space="preserve">«Приостановление</w:t>
            </w:r>
            <w:bookmarkEnd w:id="502"/>
            <w:r>
              <w:t xml:space="preserve">»;</w:t>
            </w:r>
            <w:r/>
          </w:p>
          <w:p>
            <w:pPr>
              <w:pStyle w:val="1318"/>
              <w:ind w:left="340" w:hanging="227"/>
              <w:tabs>
                <w:tab w:val="num" w:pos="340" w:leader="none"/>
              </w:tabs>
            </w:pPr>
            <w:r>
              <w:t xml:space="preserve">«Открытие ЛС»;</w:t>
            </w:r>
            <w:r/>
          </w:p>
          <w:p>
            <w:pPr>
              <w:pStyle w:val="1318"/>
              <w:ind w:left="340" w:hanging="227"/>
              <w:tabs>
                <w:tab w:val="num" w:pos="340" w:leader="none"/>
              </w:tabs>
            </w:pPr>
            <w:r>
              <w:t xml:space="preserve">«Отказ открытия ЛС»;</w:t>
            </w:r>
            <w:r/>
          </w:p>
          <w:p>
            <w:pPr>
              <w:pStyle w:val="1318"/>
              <w:ind w:left="340" w:hanging="227"/>
              <w:tabs>
                <w:tab w:val="num" w:pos="340" w:leader="none"/>
              </w:tabs>
            </w:pPr>
            <w:r/>
            <w:bookmarkStart w:id="503" w:name="_Hlk63371398"/>
            <w:r>
              <w:t xml:space="preserve">«Решение заказчика</w:t>
            </w:r>
            <w:bookmarkEnd w:id="503"/>
            <w:r>
              <w:t xml:space="preserve">»;</w:t>
            </w:r>
            <w:r/>
          </w:p>
          <w:p>
            <w:pPr>
              <w:pStyle w:val="1318"/>
              <w:ind w:left="340" w:hanging="227"/>
              <w:tabs>
                <w:tab w:val="num" w:pos="340" w:leader="none"/>
              </w:tabs>
            </w:pPr>
            <w:r>
              <w:t xml:space="preserve">«Предупреждение (БМ)»</w:t>
            </w:r>
            <w:r/>
          </w:p>
        </w:tc>
      </w:tr>
      <w:tr>
        <w:tblPrEx/>
        <w:trPr/>
        <w:tc>
          <w:tcPr>
            <w:tcW w:w="1184" w:type="pct"/>
            <w:textDirection w:val="lrTb"/>
            <w:noWrap w:val="false"/>
          </w:tcPr>
          <w:p>
            <w:pPr>
              <w:pStyle w:val="1316"/>
            </w:pPr>
            <w:r>
              <w:rPr>
                <w:szCs w:val="22"/>
              </w:rPr>
              <w:t xml:space="preserve">Система-инициатор</w:t>
            </w:r>
            <w:r/>
          </w:p>
        </w:tc>
        <w:tc>
          <w:tcPr>
            <w:tcW w:w="878" w:type="pct"/>
            <w:textDirection w:val="lrTb"/>
            <w:noWrap w:val="false"/>
          </w:tcPr>
          <w:p>
            <w:pPr>
              <w:pStyle w:val="1316"/>
            </w:pPr>
            <w:r>
              <w:t xml:space="preserve">Да</w:t>
            </w:r>
            <w:r/>
          </w:p>
        </w:tc>
        <w:tc>
          <w:tcPr>
            <w:tcW w:w="2938" w:type="pct"/>
            <w:textDirection w:val="lrTb"/>
            <w:noWrap w:val="false"/>
          </w:tcPr>
          <w:p>
            <w:pPr>
              <w:pStyle w:val="1316"/>
              <w:rPr>
                <w:szCs w:val="22"/>
              </w:rPr>
            </w:pPr>
            <w:r>
              <w:rPr>
                <w:szCs w:val="22"/>
              </w:rPr>
              <w:t xml:space="preserve">Указывается система, являющаяся инициатором формирования документа.</w:t>
            </w:r>
            <w:r>
              <w:rPr>
                <w:szCs w:val="22"/>
              </w:rPr>
            </w:r>
          </w:p>
          <w:p>
            <w:pPr>
              <w:pStyle w:val="1316"/>
            </w:pPr>
            <w:r>
              <w:rPr>
                <w:szCs w:val="22"/>
              </w:rPr>
              <w:t xml:space="preserve">Заполняется </w:t>
            </w:r>
            <w:r>
              <w:t xml:space="preserve">автоматически значением реквизита «</w:t>
            </w:r>
            <w:r>
              <w:rPr>
                <w:szCs w:val="22"/>
              </w:rPr>
              <w:t xml:space="preserve">Система-инициатор</w:t>
            </w:r>
            <w:r>
              <w:t xml:space="preserve">» родительского документа Заявление на изменение справочника «Книга регистрации лицевых счетов» </w:t>
            </w:r>
            <w:r>
              <w:rPr>
                <w:szCs w:val="22"/>
              </w:rPr>
              <w:t xml:space="preserve">или «СМЭВ» при формировании </w:t>
            </w:r>
            <w:r>
              <w:t xml:space="preserve">из СМЭВ</w:t>
            </w:r>
            <w:r/>
          </w:p>
        </w:tc>
      </w:tr>
      <w:tr>
        <w:tblPrEx/>
        <w:trPr/>
        <w:tc>
          <w:tcPr>
            <w:tcW w:w="1184" w:type="pct"/>
            <w:textDirection w:val="lrTb"/>
            <w:noWrap w:val="false"/>
          </w:tcPr>
          <w:p>
            <w:pPr>
              <w:pStyle w:val="1316"/>
            </w:pPr>
            <w:r>
              <w:t xml:space="preserve">Дата документа</w:t>
            </w:r>
            <w:r/>
          </w:p>
        </w:tc>
        <w:tc>
          <w:tcPr>
            <w:tcW w:w="878" w:type="pct"/>
            <w:textDirection w:val="lrTb"/>
            <w:noWrap w:val="false"/>
          </w:tcPr>
          <w:p>
            <w:pPr>
              <w:pStyle w:val="1316"/>
            </w:pPr>
            <w:r>
              <w:t xml:space="preserve">Да</w:t>
            </w:r>
            <w:r/>
          </w:p>
        </w:tc>
        <w:tc>
          <w:tcPr>
            <w:tcW w:w="2938" w:type="pct"/>
            <w:textDirection w:val="lrTb"/>
            <w:noWrap w:val="false"/>
          </w:tcPr>
          <w:p>
            <w:pPr>
              <w:pStyle w:val="1316"/>
              <w:rPr>
                <w:szCs w:val="22"/>
              </w:rPr>
            </w:pPr>
            <w:r>
              <w:rPr>
                <w:szCs w:val="22"/>
              </w:rPr>
              <w:t xml:space="preserve">Указывается дата формирования Уведомления. </w:t>
            </w:r>
            <w:r>
              <w:rPr>
                <w:szCs w:val="22"/>
              </w:rPr>
            </w:r>
          </w:p>
          <w:p>
            <w:pPr>
              <w:pStyle w:val="1316"/>
              <w:rPr>
                <w:szCs w:val="22"/>
              </w:rPr>
            </w:pPr>
            <w:r>
              <w:rPr>
                <w:szCs w:val="22"/>
              </w:rPr>
              <w:t xml:space="preserve">Заполняется автоматически, текущая дата</w:t>
            </w:r>
            <w:r>
              <w:rPr>
                <w:szCs w:val="22"/>
              </w:rPr>
            </w:r>
          </w:p>
          <w:p>
            <w:pPr>
              <w:pStyle w:val="1316"/>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w:t>
            </w:r>
            <w:r>
              <w:t xml:space="preserve">из СМЭВ</w:t>
            </w:r>
            <w:r/>
          </w:p>
        </w:tc>
      </w:tr>
      <w:tr>
        <w:tblPrEx/>
        <w:trPr/>
        <w:tc>
          <w:tcPr>
            <w:tcW w:w="1184" w:type="pct"/>
            <w:textDirection w:val="lrTb"/>
            <w:noWrap w:val="false"/>
          </w:tcPr>
          <w:p>
            <w:pPr>
              <w:pStyle w:val="1316"/>
            </w:pPr>
            <w:r>
              <w:t xml:space="preserve">Статус</w:t>
            </w:r>
            <w:r/>
          </w:p>
        </w:tc>
        <w:tc>
          <w:tcPr>
            <w:tcW w:w="878" w:type="pct"/>
            <w:textDirection w:val="lrTb"/>
            <w:noWrap w:val="false"/>
          </w:tcPr>
          <w:p>
            <w:pPr>
              <w:pStyle w:val="1316"/>
            </w:pPr>
            <w:r>
              <w:t xml:space="preserve">Да</w:t>
            </w:r>
            <w:r/>
          </w:p>
        </w:tc>
        <w:tc>
          <w:tcPr>
            <w:tcW w:w="2938" w:type="pct"/>
            <w:textDirection w:val="lrTb"/>
            <w:noWrap w:val="false"/>
          </w:tcPr>
          <w:p>
            <w:pPr>
              <w:pStyle w:val="1316"/>
            </w:pPr>
            <w:r>
              <w:rPr>
                <w:szCs w:val="22"/>
              </w:rPr>
              <w:t xml:space="preserve">Указывается статус документа.</w:t>
            </w:r>
            <w:r/>
          </w:p>
          <w:p>
            <w:pPr>
              <w:pStyle w:val="1316"/>
            </w:pPr>
            <w:r>
              <w:rPr>
                <w:szCs w:val="22"/>
              </w:rPr>
              <w:t xml:space="preserve">Заполняется </w:t>
            </w:r>
            <w:r>
              <w:t xml:space="preserve">автоматически в соответствии со статусной моделью: </w:t>
            </w:r>
            <w:r/>
          </w:p>
          <w:p>
            <w:pPr>
              <w:pStyle w:val="1318"/>
              <w:ind w:left="340" w:hanging="227"/>
              <w:tabs>
                <w:tab w:val="num" w:pos="340" w:leader="none"/>
              </w:tabs>
            </w:pPr>
            <w:r>
              <w:t xml:space="preserve">Создан;</w:t>
            </w:r>
            <w:r/>
          </w:p>
          <w:p>
            <w:pPr>
              <w:pStyle w:val="1318"/>
              <w:ind w:left="340" w:hanging="227"/>
              <w:tabs>
                <w:tab w:val="num" w:pos="340" w:leader="none"/>
              </w:tabs>
            </w:pPr>
            <w:r>
              <w:t xml:space="preserve">Утвержден</w:t>
            </w:r>
            <w:r/>
          </w:p>
        </w:tc>
      </w:tr>
      <w:tr>
        <w:tblPrEx/>
        <w:trPr/>
        <w:tc>
          <w:tcPr>
            <w:tcW w:w="1184" w:type="pct"/>
            <w:textDirection w:val="lrTb"/>
            <w:noWrap w:val="false"/>
          </w:tcPr>
          <w:p>
            <w:pPr>
              <w:pStyle w:val="1316"/>
            </w:pPr>
            <w:r>
              <w:t xml:space="preserve">Номер документа</w:t>
            </w:r>
            <w:r/>
          </w:p>
        </w:tc>
        <w:tc>
          <w:tcPr>
            <w:tcW w:w="878" w:type="pct"/>
            <w:textDirection w:val="lrTb"/>
            <w:noWrap w:val="false"/>
          </w:tcPr>
          <w:p>
            <w:pPr>
              <w:pStyle w:val="1316"/>
            </w:pPr>
            <w:r>
              <w:t xml:space="preserve">Да</w:t>
            </w:r>
            <w:r/>
          </w:p>
        </w:tc>
        <w:tc>
          <w:tcPr>
            <w:tcW w:w="2938" w:type="pct"/>
            <w:textDirection w:val="lrTb"/>
            <w:noWrap w:val="false"/>
          </w:tcPr>
          <w:p>
            <w:pPr>
              <w:pStyle w:val="1316"/>
              <w:rPr>
                <w:szCs w:val="22"/>
              </w:rPr>
            </w:pPr>
            <w:r>
              <w:rPr>
                <w:szCs w:val="22"/>
              </w:rPr>
              <w:t xml:space="preserve">Указывается номер Уведомления. </w:t>
            </w:r>
            <w:r>
              <w:rPr>
                <w:szCs w:val="22"/>
              </w:rPr>
            </w:r>
          </w:p>
          <w:p>
            <w:pPr>
              <w:pStyle w:val="1316"/>
            </w:pPr>
            <w:r>
              <w:rPr>
                <w:szCs w:val="22"/>
              </w:rPr>
              <w:t xml:space="preserve">Заполняется автоматически, автоинкрементно, по маске «000000000000000», </w:t>
            </w:r>
            <w:r>
              <w:t xml:space="preserve">шаг = 1.</w:t>
            </w:r>
            <w:r/>
          </w:p>
          <w:p>
            <w:pPr>
              <w:pStyle w:val="1316"/>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p>
        </w:tc>
      </w:tr>
      <w:tr>
        <w:tblPrEx/>
        <w:trPr/>
        <w:tc>
          <w:tcPr>
            <w:gridSpan w:val="3"/>
            <w:shd w:val="clear" w:color="auto" w:fill="f2f2f2" w:themeFill="background1" w:themeFillShade="F2"/>
            <w:tcW w:w="5000" w:type="pct"/>
            <w:textDirection w:val="lrTb"/>
            <w:noWrap w:val="false"/>
          </w:tcPr>
          <w:p>
            <w:pPr>
              <w:pStyle w:val="1316"/>
            </w:pPr>
            <w:r>
              <w:rPr>
                <w:b/>
              </w:rPr>
              <w:t xml:space="preserve">От кого (Информация о ТОФК / ФО создателе заявки)</w:t>
            </w:r>
            <w:r/>
          </w:p>
        </w:tc>
      </w:tr>
      <w:tr>
        <w:tblPrEx/>
        <w:trPr/>
        <w:tc>
          <w:tcPr>
            <w:tcW w:w="1184" w:type="pct"/>
            <w:textDirection w:val="lrTb"/>
            <w:noWrap w:val="false"/>
          </w:tcPr>
          <w:p>
            <w:pPr>
              <w:pStyle w:val="1316"/>
            </w:pPr>
            <w:r>
              <w:t xml:space="preserve">Наименование ТОФК</w:t>
            </w:r>
            <w:r/>
          </w:p>
        </w:tc>
        <w:tc>
          <w:tcPr>
            <w:tcW w:w="878" w:type="pct"/>
            <w:textDirection w:val="lrTb"/>
            <w:noWrap w:val="false"/>
          </w:tcPr>
          <w:p>
            <w:pPr>
              <w:pStyle w:val="1316"/>
            </w:pPr>
            <w:r>
              <w:t xml:space="preserve">Да</w:t>
            </w:r>
            <w:r/>
          </w:p>
        </w:tc>
        <w:tc>
          <w:tcPr>
            <w:tcW w:w="2938" w:type="pct"/>
            <w:textDirection w:val="lrTb"/>
            <w:noWrap w:val="false"/>
          </w:tcPr>
          <w:p>
            <w:pPr>
              <w:pStyle w:val="1316"/>
              <w:rPr>
                <w:szCs w:val="22"/>
              </w:rPr>
            </w:pPr>
            <w:r>
              <w:rPr>
                <w:szCs w:val="22"/>
              </w:rPr>
              <w:t xml:space="preserve">Указывается </w:t>
            </w:r>
            <w:r>
              <w:t xml:space="preserve">наименование ТОФК / ФО создателя заявки.</w:t>
            </w:r>
            <w:r>
              <w:rPr>
                <w:szCs w:val="22"/>
              </w:rPr>
            </w:r>
          </w:p>
          <w:p>
            <w:pPr>
              <w:pStyle w:val="1316"/>
            </w:pPr>
            <w:r>
              <w:rPr>
                <w:szCs w:val="22"/>
              </w:rPr>
              <w:t xml:space="preserve">Заполняется </w:t>
            </w:r>
            <w:r>
              <w:t xml:space="preserve">автоматически </w:t>
            </w:r>
            <w:r>
              <w:rPr>
                <w:szCs w:val="22"/>
              </w:rPr>
              <w:t xml:space="preserve">значением реквизита «</w:t>
            </w:r>
            <w:r>
              <w:t xml:space="preserve">Наименование организации» организации пользователя, создавшего запись. </w:t>
            </w:r>
            <w:r/>
          </w:p>
          <w:p>
            <w:pPr>
              <w:pStyle w:val="1316"/>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p>
        </w:tc>
      </w:tr>
      <w:tr>
        <w:tblPrEx/>
        <w:trPr/>
        <w:tc>
          <w:tcPr>
            <w:tcW w:w="1184" w:type="pct"/>
            <w:textDirection w:val="lrTb"/>
            <w:noWrap w:val="false"/>
          </w:tcPr>
          <w:p>
            <w:pPr>
              <w:pStyle w:val="1316"/>
            </w:pPr>
            <w:r>
              <w:t xml:space="preserve">Код ТОФК</w:t>
            </w:r>
            <w:r/>
          </w:p>
        </w:tc>
        <w:tc>
          <w:tcPr>
            <w:tcW w:w="878" w:type="pct"/>
            <w:textDirection w:val="lrTb"/>
            <w:noWrap w:val="false"/>
          </w:tcPr>
          <w:p>
            <w:pPr>
              <w:pStyle w:val="1316"/>
            </w:pPr>
            <w:r>
              <w:t xml:space="preserve">Да</w:t>
            </w:r>
            <w:r/>
          </w:p>
        </w:tc>
        <w:tc>
          <w:tcPr>
            <w:tcW w:w="2938" w:type="pct"/>
            <w:textDirection w:val="lrTb"/>
            <w:noWrap w:val="false"/>
          </w:tcPr>
          <w:p>
            <w:pPr>
              <w:pStyle w:val="1316"/>
              <w:rPr>
                <w:szCs w:val="22"/>
              </w:rPr>
            </w:pPr>
            <w:r>
              <w:rPr>
                <w:szCs w:val="22"/>
              </w:rPr>
              <w:t xml:space="preserve">Указывается </w:t>
            </w:r>
            <w:r>
              <w:t xml:space="preserve">Код ТОФК / ФО создателя заявки.</w:t>
            </w:r>
            <w:r>
              <w:rPr>
                <w:szCs w:val="22"/>
              </w:rPr>
            </w:r>
          </w:p>
          <w:p>
            <w:pPr>
              <w:pStyle w:val="1316"/>
            </w:pPr>
            <w:r>
              <w:rPr>
                <w:szCs w:val="22"/>
              </w:rPr>
              <w:t xml:space="preserve">Заполняется </w:t>
            </w:r>
            <w:r>
              <w:t xml:space="preserve">автоматически </w:t>
            </w:r>
            <w:r>
              <w:rPr>
                <w:szCs w:val="22"/>
              </w:rPr>
              <w:t xml:space="preserve">значением реквизита «</w:t>
            </w:r>
            <w:r>
              <w:t xml:space="preserve">Код по КОФК» организации пользователя, создавшего запись.</w:t>
            </w:r>
            <w:r/>
          </w:p>
          <w:p>
            <w:pPr>
              <w:pStyle w:val="1316"/>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p>
        </w:tc>
      </w:tr>
      <w:tr>
        <w:tblPrEx/>
        <w:trPr/>
        <w:tc>
          <w:tcPr>
            <w:tcW w:w="1184" w:type="pct"/>
            <w:textDirection w:val="lrTb"/>
            <w:noWrap w:val="false"/>
          </w:tcPr>
          <w:p>
            <w:pPr>
              <w:pStyle w:val="1316"/>
            </w:pPr>
            <w:r>
              <w:t xml:space="preserve">ОКПО ТОФК</w:t>
            </w:r>
            <w:r/>
          </w:p>
        </w:tc>
        <w:tc>
          <w:tcPr>
            <w:tcW w:w="878" w:type="pct"/>
            <w:textDirection w:val="lrTb"/>
            <w:noWrap w:val="false"/>
          </w:tcPr>
          <w:p>
            <w:pPr>
              <w:pStyle w:val="1316"/>
            </w:pPr>
            <w:r>
              <w:t xml:space="preserve">Да</w:t>
            </w:r>
            <w:r/>
          </w:p>
        </w:tc>
        <w:tc>
          <w:tcPr>
            <w:tcW w:w="2938" w:type="pct"/>
            <w:textDirection w:val="lrTb"/>
            <w:noWrap w:val="false"/>
          </w:tcPr>
          <w:p>
            <w:pPr>
              <w:pStyle w:val="1316"/>
              <w:rPr>
                <w:szCs w:val="22"/>
              </w:rPr>
            </w:pPr>
            <w:r>
              <w:rPr>
                <w:szCs w:val="22"/>
              </w:rPr>
              <w:t xml:space="preserve">Указывается </w:t>
            </w:r>
            <w:r>
              <w:t xml:space="preserve">ОКПО ТОФК / ФО создателя заявки.</w:t>
            </w:r>
            <w:r>
              <w:rPr>
                <w:szCs w:val="22"/>
              </w:rPr>
            </w:r>
          </w:p>
          <w:p>
            <w:pPr>
              <w:pStyle w:val="1316"/>
            </w:pPr>
            <w:r>
              <w:rPr>
                <w:szCs w:val="22"/>
              </w:rPr>
              <w:t xml:space="preserve">Заполняется </w:t>
            </w:r>
            <w:r>
              <w:t xml:space="preserve">автоматически</w:t>
            </w:r>
            <w:r>
              <w:rPr>
                <w:szCs w:val="22"/>
              </w:rPr>
              <w:t xml:space="preserve"> значением реквизита «</w:t>
            </w:r>
            <w:r>
              <w:t xml:space="preserve">ОКПО» организации пользователя, создавшего запись.</w:t>
            </w:r>
            <w:r/>
          </w:p>
          <w:p>
            <w:pPr>
              <w:pStyle w:val="1316"/>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p>
        </w:tc>
      </w:tr>
      <w:tr>
        <w:tblPrEx/>
        <w:trPr/>
        <w:tc>
          <w:tcPr>
            <w:gridSpan w:val="3"/>
            <w:shd w:val="clear" w:color="auto" w:fill="f2f2f2" w:themeFill="background1" w:themeFillShade="F2"/>
            <w:tcW w:w="5000" w:type="pct"/>
            <w:textDirection w:val="lrTb"/>
            <w:noWrap w:val="false"/>
          </w:tcPr>
          <w:p>
            <w:pPr>
              <w:pStyle w:val="1316"/>
            </w:pPr>
            <w:r>
              <w:rPr>
                <w:b/>
              </w:rPr>
              <w:t xml:space="preserve">Кому (Информация о заказчике)</w:t>
            </w:r>
            <w:r/>
          </w:p>
        </w:tc>
      </w:tr>
      <w:tr>
        <w:tblPrEx/>
        <w:trPr/>
        <w:tc>
          <w:tcPr>
            <w:tcW w:w="1184" w:type="pct"/>
            <w:textDirection w:val="lrTb"/>
            <w:noWrap w:val="false"/>
          </w:tcPr>
          <w:p>
            <w:pPr>
              <w:pStyle w:val="1316"/>
            </w:pPr>
            <w:r>
              <w:rPr>
                <w:szCs w:val="22"/>
              </w:rPr>
              <w:t xml:space="preserve">Код по СвР ГЗ/ГИ/ИЗ</w:t>
            </w:r>
            <w:r/>
          </w:p>
        </w:tc>
        <w:tc>
          <w:tcPr>
            <w:tcW w:w="878" w:type="pct"/>
            <w:textDirection w:val="lrTb"/>
            <w:noWrap w:val="false"/>
          </w:tcPr>
          <w:p>
            <w:pPr>
              <w:pStyle w:val="1316"/>
            </w:pPr>
            <w:r>
              <w:t xml:space="preserve">Нет</w:t>
            </w:r>
            <w:r/>
          </w:p>
        </w:tc>
        <w:tc>
          <w:tcPr>
            <w:tcW w:w="2938" w:type="pct"/>
            <w:textDirection w:val="lrTb"/>
            <w:noWrap w:val="false"/>
          </w:tcPr>
          <w:p>
            <w:pPr>
              <w:pStyle w:val="1316"/>
              <w:rPr>
                <w:szCs w:val="22"/>
              </w:rPr>
            </w:pPr>
            <w:r>
              <w:rPr>
                <w:szCs w:val="22"/>
              </w:rPr>
              <w:t xml:space="preserve">Указывается </w:t>
            </w:r>
            <w:r>
              <w:t xml:space="preserve">Код организации </w:t>
            </w:r>
            <w:r>
              <w:rPr>
                <w:szCs w:val="22"/>
              </w:rPr>
              <w:t xml:space="preserve">заказчика (головного исполнителя, исполнителя – заказчика) </w:t>
            </w:r>
            <w:r>
              <w:t xml:space="preserve">по СВР.</w:t>
            </w:r>
            <w:r>
              <w:rPr>
                <w:szCs w:val="22"/>
              </w:rPr>
            </w:r>
          </w:p>
          <w:p>
            <w:pPr>
              <w:pStyle w:val="1316"/>
            </w:pPr>
            <w:r>
              <w:rPr>
                <w:szCs w:val="22"/>
              </w:rPr>
              <w:t xml:space="preserve">Заполняется </w:t>
            </w:r>
            <w:r>
              <w:t xml:space="preserve">автоматически </w:t>
            </w:r>
            <w:r>
              <w:rPr>
                <w:szCs w:val="22"/>
              </w:rPr>
              <w:t xml:space="preserve">значением реквизита «Код заказчика</w:t>
            </w:r>
            <w:r>
              <w:t xml:space="preserve">» родительского документа Заявление на изменение справочника «Книга регистрации лицевых счетов».</w:t>
            </w:r>
            <w:r/>
          </w:p>
          <w:p>
            <w:pPr>
              <w:pStyle w:val="1316"/>
            </w:pPr>
            <w:r>
              <w:rPr>
                <w:szCs w:val="22"/>
              </w:rPr>
              <w:t xml:space="preserve">Если реквизит</w:t>
            </w:r>
            <w:r>
              <w:t xml:space="preserve"> «Тип Уведомления» = «Решение заказчика»</w:t>
            </w:r>
            <w:r>
              <w:rPr>
                <w:szCs w:val="22"/>
              </w:rPr>
              <w:t xml:space="preserve"> </w:t>
            </w:r>
            <w:r>
              <w:t xml:space="preserve">автоматически значением реквизита «</w:t>
            </w:r>
            <w:r>
              <w:rPr>
                <w:szCs w:val="22"/>
              </w:rPr>
              <w:t xml:space="preserve">Код по СвР ГЗ/ГИ/ИЗ</w:t>
            </w:r>
            <w:r>
              <w:t xml:space="preserve">» родительского документа «Уведомление при открытии лицевого счета при казначейском сопровождении» с Типом Уведомления = «Приостановление»</w:t>
            </w:r>
            <w:r/>
          </w:p>
          <w:p>
            <w:pPr>
              <w:pStyle w:val="1316"/>
              <w:rPr>
                <w:szCs w:val="22"/>
              </w:rPr>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rPr>
                <w:szCs w:val="22"/>
              </w:rPr>
            </w:r>
          </w:p>
        </w:tc>
      </w:tr>
      <w:tr>
        <w:tblPrEx/>
        <w:trPr/>
        <w:tc>
          <w:tcPr>
            <w:tcW w:w="1184" w:type="pct"/>
            <w:textDirection w:val="lrTb"/>
            <w:noWrap w:val="false"/>
          </w:tcPr>
          <w:p>
            <w:pPr>
              <w:pStyle w:val="1316"/>
            </w:pPr>
            <w:r>
              <w:t xml:space="preserve">Наименование </w:t>
            </w:r>
            <w:r>
              <w:rPr>
                <w:szCs w:val="22"/>
              </w:rPr>
              <w:t xml:space="preserve">ГЗ/ГИ/ИЗ</w:t>
            </w:r>
            <w:r/>
          </w:p>
        </w:tc>
        <w:tc>
          <w:tcPr>
            <w:tcW w:w="878" w:type="pct"/>
            <w:textDirection w:val="lrTb"/>
            <w:noWrap w:val="false"/>
          </w:tcPr>
          <w:p>
            <w:pPr>
              <w:pStyle w:val="1316"/>
            </w:pPr>
            <w:r>
              <w:t xml:space="preserve">Да</w:t>
            </w:r>
            <w:r/>
          </w:p>
        </w:tc>
        <w:tc>
          <w:tcPr>
            <w:tcW w:w="2938" w:type="pct"/>
            <w:textDirection w:val="lrTb"/>
            <w:noWrap w:val="false"/>
          </w:tcPr>
          <w:p>
            <w:pPr>
              <w:pStyle w:val="1316"/>
              <w:rPr>
                <w:szCs w:val="22"/>
              </w:rPr>
            </w:pPr>
            <w:r>
              <w:rPr>
                <w:szCs w:val="22"/>
              </w:rPr>
              <w:t xml:space="preserve">Указывается </w:t>
            </w:r>
            <w:r>
              <w:t xml:space="preserve">наименование организации </w:t>
            </w:r>
            <w:r>
              <w:rPr>
                <w:szCs w:val="22"/>
              </w:rPr>
              <w:t xml:space="preserve">заказчика (головного исполнителя, исполнителя – заказчика).</w:t>
            </w:r>
            <w:r>
              <w:rPr>
                <w:szCs w:val="22"/>
              </w:rPr>
            </w:r>
          </w:p>
          <w:p>
            <w:pPr>
              <w:pStyle w:val="1316"/>
            </w:pPr>
            <w:r>
              <w:rPr>
                <w:szCs w:val="22"/>
              </w:rPr>
              <w:t xml:space="preserve">Заполняется </w:t>
            </w:r>
            <w:r>
              <w:t xml:space="preserve">автоматически </w:t>
            </w:r>
            <w:r>
              <w:rPr>
                <w:szCs w:val="22"/>
              </w:rPr>
              <w:t xml:space="preserve">значением реквизита «Наименование заказчика</w:t>
            </w:r>
            <w:r>
              <w:t xml:space="preserve">» родительского документа Заявление на изменение справочника «Книга регистрации лицевых счетов».</w:t>
            </w:r>
            <w:r/>
          </w:p>
          <w:p>
            <w:pPr>
              <w:pStyle w:val="1316"/>
            </w:pPr>
            <w:r>
              <w:rPr>
                <w:szCs w:val="22"/>
              </w:rPr>
              <w:t xml:space="preserve">Если реквизит</w:t>
            </w:r>
            <w:r>
              <w:t xml:space="preserve"> «Тип Уведомления» = «Решение заказчика»</w:t>
            </w:r>
            <w:r>
              <w:rPr>
                <w:szCs w:val="22"/>
              </w:rPr>
              <w:t xml:space="preserve"> </w:t>
            </w:r>
            <w:r>
              <w:t xml:space="preserve">автоматически значением реквизита «</w:t>
            </w:r>
            <w:r>
              <w:rPr>
                <w:szCs w:val="22"/>
              </w:rPr>
              <w:t xml:space="preserve">Наименование ГЗ/ГИ/ИЗ</w:t>
            </w:r>
            <w:r>
              <w:t xml:space="preserve">» родительского документа «Уведомление при открытии лицевого счета при казначейском сопровождении» с Типом Уведомления = «Приостановление».</w:t>
            </w:r>
            <w:r/>
          </w:p>
          <w:p>
            <w:pPr>
              <w:pStyle w:val="1316"/>
              <w:rPr>
                <w:szCs w:val="22"/>
              </w:rPr>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rPr>
                <w:szCs w:val="22"/>
              </w:rPr>
            </w:r>
          </w:p>
        </w:tc>
      </w:tr>
      <w:tr>
        <w:tblPrEx/>
        <w:trPr/>
        <w:tc>
          <w:tcPr>
            <w:tcW w:w="1184" w:type="pct"/>
            <w:textDirection w:val="lrTb"/>
            <w:noWrap w:val="false"/>
          </w:tcPr>
          <w:p>
            <w:pPr>
              <w:pStyle w:val="1316"/>
            </w:pPr>
            <w:r>
              <w:t xml:space="preserve">ИНН ГЗ/ГИ/ИЗ</w:t>
            </w:r>
            <w:r/>
          </w:p>
        </w:tc>
        <w:tc>
          <w:tcPr>
            <w:tcW w:w="878" w:type="pct"/>
            <w:textDirection w:val="lrTb"/>
            <w:noWrap w:val="false"/>
          </w:tcPr>
          <w:p>
            <w:pPr>
              <w:pStyle w:val="1316"/>
            </w:pPr>
            <w:r>
              <w:t xml:space="preserve">Да</w:t>
            </w:r>
            <w:r/>
          </w:p>
        </w:tc>
        <w:tc>
          <w:tcPr>
            <w:tcW w:w="2938" w:type="pct"/>
            <w:textDirection w:val="lrTb"/>
            <w:noWrap w:val="false"/>
          </w:tcPr>
          <w:p>
            <w:pPr>
              <w:pStyle w:val="1316"/>
              <w:rPr>
                <w:szCs w:val="22"/>
              </w:rPr>
            </w:pPr>
            <w:r>
              <w:rPr>
                <w:szCs w:val="22"/>
              </w:rPr>
              <w:t xml:space="preserve">Указывается </w:t>
            </w:r>
            <w:r>
              <w:t xml:space="preserve">ИНН организации </w:t>
            </w:r>
            <w:r>
              <w:rPr>
                <w:szCs w:val="22"/>
              </w:rPr>
              <w:t xml:space="preserve">заказчика (головного исполнителя, исполнителя – заказчика).</w:t>
            </w:r>
            <w:r>
              <w:rPr>
                <w:szCs w:val="22"/>
              </w:rPr>
            </w:r>
          </w:p>
          <w:p>
            <w:pPr>
              <w:pStyle w:val="1316"/>
            </w:pPr>
            <w:r>
              <w:rPr>
                <w:szCs w:val="22"/>
              </w:rPr>
              <w:t xml:space="preserve">Заполняется </w:t>
            </w:r>
            <w:r>
              <w:t xml:space="preserve">автоматически </w:t>
            </w:r>
            <w:r>
              <w:rPr>
                <w:szCs w:val="22"/>
              </w:rPr>
              <w:t xml:space="preserve">значением реквизита «ИНН заказчика</w:t>
            </w:r>
            <w:r>
              <w:t xml:space="preserve">» родительского документа Заявление на изменение справочника «Книга регистрации лицевых счетов». </w:t>
            </w:r>
            <w:r/>
          </w:p>
          <w:p>
            <w:pPr>
              <w:pStyle w:val="1316"/>
            </w:pPr>
            <w:r>
              <w:rPr>
                <w:szCs w:val="22"/>
              </w:rPr>
              <w:t xml:space="preserve">Если реквизит</w:t>
            </w:r>
            <w:r>
              <w:t xml:space="preserve"> «Тип Уведомления» = «Решение заказчика»</w:t>
            </w:r>
            <w:r>
              <w:rPr>
                <w:szCs w:val="22"/>
              </w:rPr>
              <w:t xml:space="preserve"> </w:t>
            </w:r>
            <w:r>
              <w:t xml:space="preserve">автоматически значением реквизита «ИНН ГЗ/ГИ/ИЗ» родительского документа «Уведомление при открытии лицевого счета при казначейском сопровождении» с Типом Уведомления = «Приостановление»</w:t>
            </w:r>
            <w:r/>
          </w:p>
          <w:p>
            <w:pPr>
              <w:pStyle w:val="1316"/>
              <w:rPr>
                <w:szCs w:val="22"/>
              </w:rPr>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rPr>
                <w:szCs w:val="22"/>
              </w:rPr>
            </w:r>
          </w:p>
        </w:tc>
      </w:tr>
      <w:tr>
        <w:tblPrEx/>
        <w:trPr/>
        <w:tc>
          <w:tcPr>
            <w:tcW w:w="1184" w:type="pct"/>
            <w:textDirection w:val="lrTb"/>
            <w:noWrap w:val="false"/>
          </w:tcPr>
          <w:p>
            <w:pPr>
              <w:pStyle w:val="1316"/>
            </w:pPr>
            <w:r>
              <w:rPr>
                <w:szCs w:val="22"/>
              </w:rPr>
              <w:t xml:space="preserve">Лицевой счет ГЗ/ГИ/ИЗ</w:t>
            </w:r>
            <w:r/>
          </w:p>
        </w:tc>
        <w:tc>
          <w:tcPr>
            <w:tcW w:w="878" w:type="pct"/>
            <w:textDirection w:val="lrTb"/>
            <w:noWrap w:val="false"/>
          </w:tcPr>
          <w:p>
            <w:pPr>
              <w:pStyle w:val="1316"/>
            </w:pPr>
            <w:r>
              <w:t xml:space="preserve">Да</w:t>
            </w:r>
            <w:r/>
          </w:p>
        </w:tc>
        <w:tc>
          <w:tcPr>
            <w:tcW w:w="2938" w:type="pct"/>
            <w:textDirection w:val="lrTb"/>
            <w:noWrap w:val="false"/>
          </w:tcPr>
          <w:p>
            <w:pPr>
              <w:pStyle w:val="1316"/>
              <w:rPr>
                <w:szCs w:val="22"/>
              </w:rPr>
            </w:pPr>
            <w:r>
              <w:rPr>
                <w:szCs w:val="22"/>
              </w:rPr>
              <w:t xml:space="preserve">Указывается номер лицевого счета государственного заказчика (головного исполнителя, исполнителя – заказчика).</w:t>
            </w:r>
            <w:r>
              <w:rPr>
                <w:szCs w:val="22"/>
              </w:rPr>
            </w:r>
          </w:p>
          <w:p>
            <w:pPr>
              <w:pStyle w:val="1316"/>
            </w:pPr>
            <w:r>
              <w:rPr>
                <w:szCs w:val="22"/>
              </w:rPr>
              <w:t xml:space="preserve">Заполняется </w:t>
            </w:r>
            <w:r>
              <w:t xml:space="preserve">автоматически </w:t>
            </w:r>
            <w:r>
              <w:rPr>
                <w:szCs w:val="22"/>
              </w:rPr>
              <w:t xml:space="preserve">значением реквизита </w:t>
            </w:r>
            <w:r>
              <w:t xml:space="preserve">«Лицевой счет заказчика» родительского документа Заявление на изменение справочника «Книга регистрации лицевых счетов».</w:t>
            </w:r>
            <w:r/>
          </w:p>
          <w:p>
            <w:pPr>
              <w:pStyle w:val="1316"/>
            </w:pPr>
            <w:r>
              <w:rPr>
                <w:szCs w:val="22"/>
              </w:rPr>
              <w:t xml:space="preserve">Если реквизит</w:t>
            </w:r>
            <w:r>
              <w:t xml:space="preserve"> «Тип Уведомления» = «Решение заказчика»</w:t>
            </w:r>
            <w:r>
              <w:rPr>
                <w:szCs w:val="22"/>
              </w:rPr>
              <w:t xml:space="preserve"> </w:t>
            </w:r>
            <w:r>
              <w:t xml:space="preserve">автоматически значением реквизита «</w:t>
            </w:r>
            <w:r>
              <w:rPr>
                <w:szCs w:val="22"/>
              </w:rPr>
              <w:t xml:space="preserve">Лицевой счет ГЗ/ГИ/ИЗ</w:t>
            </w:r>
            <w:r>
              <w:t xml:space="preserve">» родительского документа «Уведомление при открытии лицевого счета при казначейском сопровождении» с Типом Уведомления = «Приостановление».</w:t>
            </w:r>
            <w:r/>
          </w:p>
          <w:p>
            <w:pPr>
              <w:pStyle w:val="1316"/>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p>
        </w:tc>
      </w:tr>
      <w:tr>
        <w:tblPrEx/>
        <w:trPr/>
        <w:tc>
          <w:tcPr>
            <w:tcW w:w="1184" w:type="pct"/>
            <w:textDirection w:val="lrTb"/>
            <w:noWrap w:val="false"/>
          </w:tcPr>
          <w:p>
            <w:pPr>
              <w:pStyle w:val="1316"/>
            </w:pPr>
            <w:r>
              <w:rPr>
                <w:szCs w:val="22"/>
              </w:rPr>
              <w:t xml:space="preserve">Код по ОКПО ГЗ/ГИ/ИЗ</w:t>
            </w:r>
            <w:r/>
          </w:p>
        </w:tc>
        <w:tc>
          <w:tcPr>
            <w:tcW w:w="878" w:type="pct"/>
            <w:textDirection w:val="lrTb"/>
            <w:noWrap w:val="false"/>
          </w:tcPr>
          <w:p>
            <w:pPr>
              <w:pStyle w:val="1316"/>
            </w:pPr>
            <w:r>
              <w:t xml:space="preserve">-</w:t>
            </w:r>
            <w:r/>
          </w:p>
        </w:tc>
        <w:tc>
          <w:tcPr>
            <w:tcW w:w="2938" w:type="pct"/>
            <w:textDirection w:val="lrTb"/>
            <w:noWrap w:val="false"/>
          </w:tcPr>
          <w:p>
            <w:pPr>
              <w:pStyle w:val="1316"/>
              <w:rPr>
                <w:szCs w:val="22"/>
              </w:rPr>
            </w:pPr>
            <w:r>
              <w:rPr>
                <w:szCs w:val="22"/>
              </w:rPr>
              <w:t xml:space="preserve">Указывается </w:t>
            </w:r>
            <w:r>
              <w:t xml:space="preserve">Код ОКПО организации </w:t>
            </w:r>
            <w:r>
              <w:rPr>
                <w:szCs w:val="22"/>
              </w:rPr>
              <w:t xml:space="preserve">заказчика (головного исполнителя, исполнителя – заказчика).</w:t>
            </w:r>
            <w:r>
              <w:rPr>
                <w:szCs w:val="22"/>
              </w:rPr>
            </w:r>
          </w:p>
          <w:p>
            <w:pPr>
              <w:pStyle w:val="1316"/>
              <w:rPr>
                <w:szCs w:val="22"/>
              </w:rPr>
            </w:pPr>
            <w:r>
              <w:rPr>
                <w:szCs w:val="22"/>
              </w:rPr>
              <w:t xml:space="preserve">Заполняется </w:t>
            </w:r>
            <w:r>
              <w:t xml:space="preserve">автоматически </w:t>
            </w:r>
            <w:r>
              <w:rPr>
                <w:szCs w:val="22"/>
              </w:rPr>
              <w:t xml:space="preserve">значением реквизита «ОКПО</w:t>
            </w:r>
            <w:r>
              <w:t xml:space="preserve">» записи справочника Сводный реестр, у которой реквизит «</w:t>
            </w:r>
            <w:r>
              <w:rPr>
                <w:szCs w:val="22"/>
              </w:rPr>
              <w:t xml:space="preserve">Код организации» = «Код по СвР ГЗ/ГИ/ИЗ».</w:t>
            </w:r>
            <w:r>
              <w:rPr>
                <w:szCs w:val="22"/>
              </w:rPr>
            </w:r>
          </w:p>
          <w:p>
            <w:pPr>
              <w:pStyle w:val="1316"/>
            </w:pPr>
            <w:r>
              <w:rPr>
                <w:szCs w:val="22"/>
              </w:rPr>
              <w:t xml:space="preserve">Если реквизит</w:t>
            </w:r>
            <w:r>
              <w:t xml:space="preserve"> «Тип Уведомления» = «Решение заказчи</w:t>
            </w:r>
            <w:r>
              <w:t xml:space="preserve">ка»</w:t>
            </w:r>
            <w:r>
              <w:rPr>
                <w:szCs w:val="22"/>
              </w:rPr>
              <w:t xml:space="preserve"> </w:t>
            </w:r>
            <w:r>
              <w:t xml:space="preserve">автоматически значением реквизита «</w:t>
            </w:r>
            <w:r>
              <w:rPr>
                <w:szCs w:val="22"/>
              </w:rPr>
              <w:t xml:space="preserve">Код по ОКПО ГЗ/ГИ/ИЗ</w:t>
            </w:r>
            <w:r>
              <w:t xml:space="preserve">» родительского документа «Уведомление при открытии лицевого счета при казначейском сопровождении» с Типом Уведомления = «Приостановление».</w:t>
            </w:r>
            <w:r/>
          </w:p>
          <w:p>
            <w:pPr>
              <w:pStyle w:val="1316"/>
              <w:rPr>
                <w:szCs w:val="22"/>
              </w:rPr>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rPr>
                <w:szCs w:val="22"/>
              </w:rPr>
            </w:r>
          </w:p>
        </w:tc>
      </w:tr>
      <w:tr>
        <w:tblPrEx/>
        <w:trPr/>
        <w:tc>
          <w:tcPr>
            <w:gridSpan w:val="3"/>
            <w:shd w:val="clear" w:color="auto" w:fill="f2f2f2" w:themeFill="background1" w:themeFillShade="F2"/>
            <w:tcW w:w="5000" w:type="pct"/>
            <w:textDirection w:val="lrTb"/>
            <w:noWrap w:val="false"/>
          </w:tcPr>
          <w:p>
            <w:pPr>
              <w:pStyle w:val="1316"/>
            </w:pPr>
            <w:r>
              <w:rPr>
                <w:b/>
              </w:rPr>
              <w:t xml:space="preserve">Кому (Информация о Росфинмониторинге)</w:t>
            </w:r>
            <w:r/>
          </w:p>
        </w:tc>
      </w:tr>
      <w:tr>
        <w:tblPrEx/>
        <w:trPr/>
        <w:tc>
          <w:tcPr>
            <w:tcW w:w="1184" w:type="pct"/>
            <w:textDirection w:val="lrTb"/>
            <w:noWrap w:val="false"/>
          </w:tcPr>
          <w:p>
            <w:pPr>
              <w:pStyle w:val="1316"/>
            </w:pPr>
            <w:r>
              <w:t xml:space="preserve">Наименование Росфинмониторинга</w:t>
            </w:r>
            <w:r/>
          </w:p>
        </w:tc>
        <w:tc>
          <w:tcPr>
            <w:tcW w:w="878" w:type="pct"/>
            <w:textDirection w:val="lrTb"/>
            <w:noWrap w:val="false"/>
          </w:tcPr>
          <w:p>
            <w:pPr>
              <w:pStyle w:val="1316"/>
            </w:pPr>
            <w:r>
              <w:t xml:space="preserve">Да</w:t>
            </w:r>
            <w:r/>
          </w:p>
        </w:tc>
        <w:tc>
          <w:tcPr>
            <w:tcW w:w="2938" w:type="pct"/>
            <w:textDirection w:val="lrTb"/>
            <w:noWrap w:val="false"/>
          </w:tcPr>
          <w:p>
            <w:pPr>
              <w:pStyle w:val="1316"/>
              <w:rPr>
                <w:szCs w:val="22"/>
              </w:rPr>
            </w:pPr>
            <w:r>
              <w:rPr>
                <w:szCs w:val="22"/>
              </w:rPr>
              <w:t xml:space="preserve">Указывается наименование организации Росфинмониторинга.</w:t>
            </w:r>
            <w:r>
              <w:rPr>
                <w:szCs w:val="22"/>
              </w:rPr>
            </w:r>
          </w:p>
          <w:p>
            <w:pPr>
              <w:pStyle w:val="1316"/>
              <w:rPr>
                <w:szCs w:val="22"/>
              </w:rPr>
            </w:pPr>
            <w:r>
              <w:rPr>
                <w:szCs w:val="22"/>
              </w:rPr>
              <w:t xml:space="preserve">Заполняется </w:t>
            </w:r>
            <w:r>
              <w:t xml:space="preserve">автоматически </w:t>
            </w:r>
            <w:r>
              <w:rPr>
                <w:szCs w:val="22"/>
              </w:rPr>
              <w:t xml:space="preserve">значением реквизита «Полное наименование</w:t>
            </w:r>
            <w:r>
              <w:t xml:space="preserve">» справочника «Сводный реестр», у которой реквизит «</w:t>
            </w:r>
            <w:r>
              <w:rPr>
                <w:szCs w:val="22"/>
              </w:rPr>
              <w:t xml:space="preserve">Код организации» = «Код по Сводному реестру Росфинмониторинга».</w:t>
            </w:r>
            <w:r>
              <w:rPr>
                <w:szCs w:val="22"/>
              </w:rPr>
            </w:r>
          </w:p>
          <w:p>
            <w:pPr>
              <w:pStyle w:val="1316"/>
            </w:pPr>
            <w:r>
              <w:rPr>
                <w:szCs w:val="22"/>
              </w:rPr>
              <w:t xml:space="preserve">Если реквизит</w:t>
            </w:r>
            <w:r>
              <w:t xml:space="preserve"> «Тип Уведомления» = «Решение заказчика»</w:t>
            </w:r>
            <w:r>
              <w:rPr>
                <w:szCs w:val="22"/>
              </w:rPr>
              <w:t xml:space="preserve"> </w:t>
            </w:r>
            <w:r>
              <w:t xml:space="preserve">автоматически значением реквизита «</w:t>
            </w:r>
            <w:r>
              <w:rPr>
                <w:szCs w:val="22"/>
              </w:rPr>
              <w:t xml:space="preserve">Наименование Росфинмониторинга</w:t>
            </w:r>
            <w:r>
              <w:t xml:space="preserve">» родительского документа «Уведомление при открытии лицевого счета при казначейском сопровождении» с Типом Уведомления = «Приостановление».</w:t>
            </w:r>
            <w:r/>
          </w:p>
          <w:p>
            <w:pPr>
              <w:pStyle w:val="1316"/>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p>
        </w:tc>
      </w:tr>
      <w:tr>
        <w:tblPrEx/>
        <w:trPr/>
        <w:tc>
          <w:tcPr>
            <w:tcW w:w="1184" w:type="pct"/>
            <w:textDirection w:val="lrTb"/>
            <w:noWrap w:val="false"/>
          </w:tcPr>
          <w:p>
            <w:pPr>
              <w:pStyle w:val="1316"/>
            </w:pPr>
            <w:r>
              <w:rPr>
                <w:szCs w:val="22"/>
              </w:rPr>
              <w:t xml:space="preserve">Код по ОКПО Росфинмониторинга</w:t>
            </w:r>
            <w:r/>
          </w:p>
        </w:tc>
        <w:tc>
          <w:tcPr>
            <w:tcW w:w="878" w:type="pct"/>
            <w:textDirection w:val="lrTb"/>
            <w:noWrap w:val="false"/>
          </w:tcPr>
          <w:p>
            <w:pPr>
              <w:pStyle w:val="1316"/>
            </w:pPr>
            <w:r>
              <w:t xml:space="preserve">Да</w:t>
            </w:r>
            <w:r/>
          </w:p>
        </w:tc>
        <w:tc>
          <w:tcPr>
            <w:tcW w:w="2938" w:type="pct"/>
            <w:textDirection w:val="lrTb"/>
            <w:noWrap w:val="false"/>
          </w:tcPr>
          <w:p>
            <w:pPr>
              <w:pStyle w:val="1316"/>
              <w:rPr>
                <w:szCs w:val="22"/>
              </w:rPr>
            </w:pPr>
            <w:r>
              <w:rPr>
                <w:szCs w:val="22"/>
              </w:rPr>
              <w:t xml:space="preserve">Указывается ОКПО организации Росфинмониторинга.</w:t>
            </w:r>
            <w:r>
              <w:rPr>
                <w:szCs w:val="22"/>
              </w:rPr>
            </w:r>
          </w:p>
          <w:p>
            <w:pPr>
              <w:pStyle w:val="1316"/>
              <w:rPr>
                <w:szCs w:val="22"/>
              </w:rPr>
            </w:pPr>
            <w:r>
              <w:rPr>
                <w:szCs w:val="22"/>
              </w:rPr>
              <w:t xml:space="preserve">Заполняется </w:t>
            </w:r>
            <w:r>
              <w:t xml:space="preserve">автоматически </w:t>
            </w:r>
            <w:r>
              <w:rPr>
                <w:szCs w:val="22"/>
              </w:rPr>
              <w:t xml:space="preserve">значением реквизита «ОКПО</w:t>
            </w:r>
            <w:r>
              <w:t xml:space="preserve">» справочника «Сводный реестр», у которой реквизит «</w:t>
            </w:r>
            <w:r>
              <w:rPr>
                <w:szCs w:val="22"/>
              </w:rPr>
              <w:t xml:space="preserve">Код организации» = «Код по Сводному реестру Росфинмониторинга».</w:t>
            </w:r>
            <w:r>
              <w:rPr>
                <w:szCs w:val="22"/>
              </w:rPr>
            </w:r>
          </w:p>
          <w:p>
            <w:pPr>
              <w:pStyle w:val="1316"/>
            </w:pPr>
            <w:r>
              <w:rPr>
                <w:szCs w:val="22"/>
              </w:rPr>
              <w:t xml:space="preserve">Если реквизит</w:t>
            </w:r>
            <w:r>
              <w:t xml:space="preserve"> «Тип Уведомления» = «Решение заказчика»</w:t>
            </w:r>
            <w:r>
              <w:rPr>
                <w:szCs w:val="22"/>
              </w:rPr>
              <w:t xml:space="preserve"> </w:t>
            </w:r>
            <w:r>
              <w:t xml:space="preserve">автоматически значением реквизита «</w:t>
            </w:r>
            <w:r>
              <w:rPr>
                <w:szCs w:val="22"/>
              </w:rPr>
              <w:t xml:space="preserve">Код по ОКПО Росфинмониторинга</w:t>
            </w:r>
            <w:r>
              <w:t xml:space="preserve">» родительского документа «Уведомление при открытии лицевого счета при казначейском сопровождении» с Типом Уведомления = «Приостановление».</w:t>
            </w:r>
            <w:r/>
          </w:p>
          <w:p>
            <w:pPr>
              <w:pStyle w:val="1316"/>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p>
        </w:tc>
      </w:tr>
      <w:tr>
        <w:tblPrEx/>
        <w:trPr/>
        <w:tc>
          <w:tcPr>
            <w:tcW w:w="1184" w:type="pct"/>
            <w:textDirection w:val="lrTb"/>
            <w:noWrap w:val="false"/>
          </w:tcPr>
          <w:p>
            <w:pPr>
              <w:pStyle w:val="1316"/>
            </w:pPr>
            <w:r>
              <w:rPr>
                <w:szCs w:val="22"/>
              </w:rPr>
              <w:t xml:space="preserve">Код по Сводному реестру Росфинмониторинга</w:t>
            </w:r>
            <w:r/>
          </w:p>
        </w:tc>
        <w:tc>
          <w:tcPr>
            <w:tcW w:w="878" w:type="pct"/>
            <w:textDirection w:val="lrTb"/>
            <w:noWrap w:val="false"/>
          </w:tcPr>
          <w:p>
            <w:pPr>
              <w:pStyle w:val="1316"/>
            </w:pPr>
            <w:r>
              <w:t xml:space="preserve">Нет</w:t>
            </w:r>
            <w:r/>
          </w:p>
        </w:tc>
        <w:tc>
          <w:tcPr>
            <w:tcW w:w="2938" w:type="pct"/>
            <w:textDirection w:val="lrTb"/>
            <w:noWrap w:val="false"/>
          </w:tcPr>
          <w:p>
            <w:pPr>
              <w:pStyle w:val="1316"/>
              <w:rPr>
                <w:szCs w:val="22"/>
              </w:rPr>
            </w:pPr>
            <w:r>
              <w:rPr>
                <w:szCs w:val="22"/>
              </w:rPr>
              <w:t xml:space="preserve">Указывается Код организации Росфинмониторинга по СВР.</w:t>
            </w:r>
            <w:r>
              <w:rPr>
                <w:szCs w:val="22"/>
              </w:rPr>
            </w:r>
          </w:p>
          <w:p>
            <w:pPr>
              <w:pStyle w:val="1316"/>
            </w:pPr>
            <w:r>
              <w:rPr>
                <w:szCs w:val="22"/>
              </w:rPr>
              <w:t xml:space="preserve">По умолчанию заполняется значением = «</w:t>
            </w:r>
            <w:r>
              <w:t xml:space="preserve">00100724».</w:t>
            </w:r>
            <w:r/>
          </w:p>
          <w:p>
            <w:pPr>
              <w:pStyle w:val="1316"/>
            </w:pPr>
            <w:r>
              <w:rPr>
                <w:szCs w:val="22"/>
              </w:rPr>
              <w:t xml:space="preserve">Реквизит доступен для ручного редактирования, </w:t>
            </w:r>
            <w:r>
              <w:t xml:space="preserve">выбор значения </w:t>
            </w:r>
            <w:r>
              <w:rPr>
                <w:szCs w:val="22"/>
              </w:rPr>
              <w:t xml:space="preserve">из справочника</w:t>
            </w:r>
            <w:r>
              <w:t xml:space="preserve"> «Сводный реестр».</w:t>
            </w:r>
            <w:r/>
          </w:p>
          <w:p>
            <w:pPr>
              <w:pStyle w:val="1316"/>
            </w:pPr>
            <w:r>
              <w:rPr>
                <w:szCs w:val="22"/>
              </w:rPr>
              <w:t xml:space="preserve">Реквизит обязателен для заполнения, если реквизит «</w:t>
            </w:r>
            <w:r>
              <w:t xml:space="preserve">Тип Уведомления» = «</w:t>
            </w:r>
            <w:r>
              <w:rPr>
                <w:szCs w:val="22"/>
              </w:rPr>
              <w:t xml:space="preserve">Открытие ЛС».</w:t>
            </w:r>
            <w:r/>
          </w:p>
          <w:p>
            <w:pPr>
              <w:pStyle w:val="1316"/>
            </w:pPr>
            <w:r>
              <w:rPr>
                <w:szCs w:val="22"/>
              </w:rPr>
              <w:t xml:space="preserve">Если реквизит</w:t>
            </w:r>
            <w:r>
              <w:t xml:space="preserve"> «Тип Уведомления» = «Решение заказчика»</w:t>
            </w:r>
            <w:r>
              <w:rPr>
                <w:szCs w:val="22"/>
              </w:rPr>
              <w:t xml:space="preserve"> </w:t>
            </w:r>
            <w:r>
              <w:t xml:space="preserve">автоматически значением реквизита «</w:t>
            </w:r>
            <w:r>
              <w:rPr>
                <w:szCs w:val="22"/>
              </w:rPr>
              <w:t xml:space="preserve">Код по Сводному реестру Росфинмониторинга</w:t>
            </w:r>
            <w:r>
              <w:t xml:space="preserve">» родительского документа «Уведомление при открытии лицевого счета при казна</w:t>
            </w:r>
            <w:r>
              <w:t xml:space="preserve">чейском сопровождении» с Типом Уведомления = «Приостановление».</w:t>
            </w:r>
            <w:r/>
          </w:p>
          <w:p>
            <w:pPr>
              <w:pStyle w:val="1316"/>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p>
        </w:tc>
      </w:tr>
      <w:tr>
        <w:tblPrEx/>
        <w:trPr/>
        <w:tc>
          <w:tcPr>
            <w:gridSpan w:val="3"/>
            <w:shd w:val="clear" w:color="auto" w:fill="f2f2f2" w:themeFill="background1" w:themeFillShade="F2"/>
            <w:tcW w:w="5000" w:type="pct"/>
            <w:textDirection w:val="lrTb"/>
            <w:noWrap w:val="false"/>
          </w:tcPr>
          <w:p>
            <w:pPr>
              <w:pStyle w:val="1316"/>
            </w:pPr>
            <w:r>
              <w:rPr>
                <w:b/>
              </w:rPr>
              <w:t xml:space="preserve">Кому (Информация о ТОФК открытия ЛС заказчика / Росфинмониторинга)</w:t>
            </w:r>
            <w:r/>
          </w:p>
        </w:tc>
      </w:tr>
      <w:tr>
        <w:tblPrEx/>
        <w:trPr/>
        <w:tc>
          <w:tcPr>
            <w:tcW w:w="1184" w:type="pct"/>
            <w:textDirection w:val="lrTb"/>
            <w:noWrap w:val="false"/>
          </w:tcPr>
          <w:p>
            <w:pPr>
              <w:pStyle w:val="1316"/>
            </w:pPr>
            <w:r>
              <w:t xml:space="preserve">Код ТОФК </w:t>
            </w:r>
            <w:r>
              <w:rPr>
                <w:szCs w:val="22"/>
              </w:rPr>
              <w:t xml:space="preserve">открытия ЛС</w:t>
            </w:r>
            <w:r/>
          </w:p>
        </w:tc>
        <w:tc>
          <w:tcPr>
            <w:tcW w:w="878" w:type="pct"/>
            <w:textDirection w:val="lrTb"/>
            <w:noWrap w:val="false"/>
          </w:tcPr>
          <w:p>
            <w:pPr>
              <w:pStyle w:val="1316"/>
            </w:pPr>
            <w:r>
              <w:t xml:space="preserve">Да</w:t>
            </w:r>
            <w:r/>
          </w:p>
        </w:tc>
        <w:tc>
          <w:tcPr>
            <w:tcW w:w="2938" w:type="pct"/>
            <w:textDirection w:val="lrTb"/>
            <w:noWrap w:val="false"/>
          </w:tcPr>
          <w:p>
            <w:pPr>
              <w:pStyle w:val="1316"/>
              <w:rPr>
                <w:szCs w:val="22"/>
              </w:rPr>
            </w:pPr>
            <w:r>
              <w:rPr>
                <w:szCs w:val="22"/>
              </w:rPr>
              <w:t xml:space="preserve">Указывается </w:t>
            </w:r>
            <w:r>
              <w:t xml:space="preserve">Код ТОФК / ФО </w:t>
            </w:r>
            <w:r>
              <w:rPr>
                <w:szCs w:val="22"/>
              </w:rPr>
              <w:t xml:space="preserve">открытия организации. </w:t>
            </w:r>
            <w:r>
              <w:rPr>
                <w:szCs w:val="22"/>
              </w:rPr>
            </w:r>
          </w:p>
          <w:p>
            <w:pPr>
              <w:pStyle w:val="1316"/>
              <w:rPr>
                <w:szCs w:val="22"/>
              </w:rPr>
            </w:pPr>
            <w:r>
              <w:rPr>
                <w:szCs w:val="22"/>
              </w:rPr>
              <w:t xml:space="preserve">Заполняется </w:t>
            </w:r>
            <w:r>
              <w:t xml:space="preserve">автоматически </w:t>
            </w:r>
            <w:r>
              <w:rPr>
                <w:szCs w:val="22"/>
              </w:rPr>
              <w:t xml:space="preserve">значением реквизита «Код ТОФК по месту открытия ЛС</w:t>
            </w:r>
            <w:r>
              <w:t xml:space="preserve">» родительского документа Заявление на изменение справочника «Книга регистрации лицевых счетов» </w:t>
            </w:r>
            <w:r>
              <w:rPr>
                <w:szCs w:val="22"/>
              </w:rPr>
              <w:t xml:space="preserve">или автоматически значением реквизита «Код ТОФК по месту открытия ЛС</w:t>
            </w:r>
            <w:r>
              <w:t xml:space="preserve">» справочника «Книга регистрации лицевых счетов» выбранной записи «</w:t>
            </w:r>
            <w:r>
              <w:rPr>
                <w:szCs w:val="22"/>
              </w:rPr>
              <w:t xml:space="preserve">Лицевой счет ГЗ/ГИ/ИЗ».</w:t>
            </w:r>
            <w:r>
              <w:rPr>
                <w:szCs w:val="22"/>
              </w:rPr>
            </w:r>
          </w:p>
          <w:p>
            <w:pPr>
              <w:pStyle w:val="1316"/>
            </w:pPr>
            <w:r>
              <w:rPr>
                <w:szCs w:val="22"/>
              </w:rPr>
              <w:t xml:space="preserve">Если реквизит</w:t>
            </w:r>
            <w:r>
              <w:t xml:space="preserve"> «Тип Уведомления» = «</w:t>
            </w:r>
            <w:r>
              <w:rPr>
                <w:szCs w:val="22"/>
              </w:rPr>
              <w:t xml:space="preserve">Открытие ЛС» или «Отказ открытия ЛС», то значением «9500», </w:t>
            </w:r>
            <w:r>
              <w:t xml:space="preserve">с возможностью перевыбора значения из справочника «Сводный Реестр» с примененным фильтром Код по КОФК≠пусто</w:t>
            </w:r>
            <w:r/>
          </w:p>
          <w:p>
            <w:pPr>
              <w:pStyle w:val="1316"/>
            </w:pPr>
            <w:r>
              <w:rPr>
                <w:szCs w:val="22"/>
              </w:rPr>
              <w:t xml:space="preserve">Если реквизит</w:t>
            </w:r>
            <w:r>
              <w:t xml:space="preserve"> «Тип Уведомления» = «Решение заказчика»</w:t>
            </w:r>
            <w:r>
              <w:rPr>
                <w:szCs w:val="22"/>
              </w:rPr>
              <w:t xml:space="preserve"> </w:t>
            </w:r>
            <w:r>
              <w:t xml:space="preserve">автоматически значением реквизита «Код ТОФК </w:t>
            </w:r>
            <w:r>
              <w:rPr>
                <w:szCs w:val="22"/>
              </w:rPr>
              <w:t xml:space="preserve">открытия ЛС</w:t>
            </w:r>
            <w:r>
              <w:t xml:space="preserve">» родительского документа «Уведомление при открытии лицевого счета при казначейском сопровождении» с Типом Уведомления = «Приостановление».</w:t>
            </w:r>
            <w:r/>
          </w:p>
          <w:p>
            <w:pPr>
              <w:pStyle w:val="1316"/>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p>
        </w:tc>
      </w:tr>
      <w:tr>
        <w:tblPrEx/>
        <w:trPr/>
        <w:tc>
          <w:tcPr>
            <w:tcW w:w="1184" w:type="pct"/>
            <w:textDirection w:val="lrTb"/>
            <w:noWrap w:val="false"/>
          </w:tcPr>
          <w:p>
            <w:pPr>
              <w:pStyle w:val="1316"/>
            </w:pPr>
            <w:r>
              <w:t xml:space="preserve">Код ТОФК </w:t>
            </w:r>
            <w:r>
              <w:rPr>
                <w:szCs w:val="22"/>
              </w:rPr>
              <w:t xml:space="preserve">открытия ЛС </w:t>
            </w:r>
            <w:r>
              <w:t xml:space="preserve">по СВР</w:t>
            </w:r>
            <w:r/>
          </w:p>
        </w:tc>
        <w:tc>
          <w:tcPr>
            <w:tcW w:w="878" w:type="pct"/>
            <w:textDirection w:val="lrTb"/>
            <w:noWrap w:val="false"/>
          </w:tcPr>
          <w:p>
            <w:pPr>
              <w:pStyle w:val="1316"/>
            </w:pPr>
            <w:r>
              <w:t xml:space="preserve">Да</w:t>
            </w:r>
            <w:r/>
          </w:p>
        </w:tc>
        <w:tc>
          <w:tcPr>
            <w:tcW w:w="2938" w:type="pct"/>
            <w:textDirection w:val="lrTb"/>
            <w:noWrap w:val="false"/>
          </w:tcPr>
          <w:p>
            <w:pPr>
              <w:pStyle w:val="1316"/>
              <w:rPr>
                <w:szCs w:val="22"/>
              </w:rPr>
            </w:pPr>
            <w:r>
              <w:rPr>
                <w:szCs w:val="22"/>
              </w:rPr>
              <w:t xml:space="preserve">Указывается </w:t>
            </w:r>
            <w:r>
              <w:t xml:space="preserve">Код ТОФК / ФО </w:t>
            </w:r>
            <w:r>
              <w:rPr>
                <w:szCs w:val="22"/>
              </w:rPr>
              <w:t xml:space="preserve">открытия организации по СВР.</w:t>
            </w:r>
            <w:r>
              <w:rPr>
                <w:szCs w:val="22"/>
              </w:rPr>
            </w:r>
          </w:p>
          <w:p>
            <w:pPr>
              <w:pStyle w:val="1316"/>
            </w:pPr>
            <w:r>
              <w:rPr>
                <w:szCs w:val="22"/>
              </w:rPr>
              <w:t xml:space="preserve">Заполняется </w:t>
            </w:r>
            <w:r>
              <w:t xml:space="preserve">автоматически</w:t>
            </w:r>
            <w:r>
              <w:rPr>
                <w:szCs w:val="22"/>
              </w:rPr>
              <w:t xml:space="preserve"> </w:t>
            </w:r>
            <w:r>
              <w:rPr>
                <w:szCs w:val="22"/>
              </w:rPr>
              <w:t xml:space="preserve">значением реквизита «Код ТОФК по месту открытия ЛС по Сводному реестру</w:t>
            </w:r>
            <w:r>
              <w:t xml:space="preserve">» родительского документа Заявление на изменение справочника «Книга регистрации лицевых счетов» </w:t>
            </w:r>
            <w:r>
              <w:rPr>
                <w:szCs w:val="22"/>
              </w:rPr>
              <w:t xml:space="preserve">Или автоматически значением реквизита «Код ТОФК по месту открытия ЛС по Сводному реестру</w:t>
            </w:r>
            <w:r>
              <w:t xml:space="preserve">» справочника «Книга регистрации лицевых счетов» выбранной записи «</w:t>
            </w:r>
            <w:r>
              <w:rPr>
                <w:szCs w:val="22"/>
              </w:rPr>
              <w:t xml:space="preserve">Лицевой счет ГЗ/ГИ/ИЗ» </w:t>
            </w:r>
            <w:r>
              <w:t xml:space="preserve">Или значением реквизита «Код по КОФК» выбранной записи справочника «Сводный реестр» у которой «Код КОФК» = значению реквизита «Код ТОФК </w:t>
            </w:r>
            <w:r>
              <w:rPr>
                <w:szCs w:val="22"/>
              </w:rPr>
              <w:t xml:space="preserve">открытия ЛС ГЗ/ГИ/ИЗ».</w:t>
            </w:r>
            <w:r/>
          </w:p>
          <w:p>
            <w:pPr>
              <w:pStyle w:val="1316"/>
            </w:pPr>
            <w:r>
              <w:rPr>
                <w:szCs w:val="22"/>
              </w:rPr>
              <w:t xml:space="preserve">Если реквизит</w:t>
            </w:r>
            <w:r>
              <w:t xml:space="preserve"> «Тип Уведомления» = «Решение заказчика»</w:t>
            </w:r>
            <w:r>
              <w:rPr>
                <w:szCs w:val="22"/>
              </w:rPr>
              <w:t xml:space="preserve"> </w:t>
            </w:r>
            <w:r>
              <w:t xml:space="preserve">автоматически значением реквизита «Код ТОФК </w:t>
            </w:r>
            <w:r>
              <w:rPr>
                <w:szCs w:val="22"/>
              </w:rPr>
              <w:t xml:space="preserve">открытия ЛС </w:t>
            </w:r>
            <w:r>
              <w:t xml:space="preserve">по СВР» родительского документа «Уведомление при открытии лицевого счета при казначейском сопровождении» с Типом Уведомления = «Приостановление».</w:t>
            </w:r>
            <w:r/>
          </w:p>
          <w:p>
            <w:pPr>
              <w:pStyle w:val="1316"/>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p>
        </w:tc>
      </w:tr>
      <w:tr>
        <w:tblPrEx/>
        <w:trPr/>
        <w:tc>
          <w:tcPr>
            <w:tcW w:w="1184" w:type="pct"/>
            <w:textDirection w:val="lrTb"/>
            <w:noWrap w:val="false"/>
          </w:tcPr>
          <w:p>
            <w:pPr>
              <w:pStyle w:val="1316"/>
            </w:pPr>
            <w:r>
              <w:t xml:space="preserve">Наименование ТОФК</w:t>
            </w:r>
            <w:r>
              <w:rPr>
                <w:szCs w:val="22"/>
              </w:rPr>
              <w:t xml:space="preserve"> открытия ЛС</w:t>
            </w:r>
            <w:r/>
          </w:p>
        </w:tc>
        <w:tc>
          <w:tcPr>
            <w:tcW w:w="878" w:type="pct"/>
            <w:textDirection w:val="lrTb"/>
            <w:noWrap w:val="false"/>
          </w:tcPr>
          <w:p>
            <w:pPr>
              <w:pStyle w:val="1316"/>
            </w:pPr>
            <w:r>
              <w:t xml:space="preserve">Да</w:t>
            </w:r>
            <w:r/>
          </w:p>
        </w:tc>
        <w:tc>
          <w:tcPr>
            <w:tcW w:w="2938" w:type="pct"/>
            <w:textDirection w:val="lrTb"/>
            <w:noWrap w:val="false"/>
          </w:tcPr>
          <w:p>
            <w:pPr>
              <w:pStyle w:val="1316"/>
              <w:rPr>
                <w:szCs w:val="22"/>
              </w:rPr>
            </w:pPr>
            <w:r>
              <w:rPr>
                <w:szCs w:val="22"/>
              </w:rPr>
              <w:t xml:space="preserve">Указывается </w:t>
            </w:r>
            <w:r>
              <w:t xml:space="preserve">наименование ТОФК / ФО </w:t>
            </w:r>
            <w:r>
              <w:rPr>
                <w:szCs w:val="22"/>
              </w:rPr>
              <w:t xml:space="preserve">открытия организации. </w:t>
            </w:r>
            <w:r>
              <w:rPr>
                <w:szCs w:val="22"/>
              </w:rPr>
            </w:r>
          </w:p>
          <w:p>
            <w:pPr>
              <w:pStyle w:val="1316"/>
              <w:rPr>
                <w:szCs w:val="22"/>
              </w:rPr>
            </w:pPr>
            <w:r>
              <w:rPr>
                <w:szCs w:val="22"/>
              </w:rPr>
              <w:t xml:space="preserve">Заполняется </w:t>
            </w:r>
            <w:r>
              <w:t xml:space="preserve">автоматически</w:t>
            </w:r>
            <w:r>
              <w:rPr>
                <w:szCs w:val="22"/>
              </w:rPr>
              <w:t xml:space="preserve"> </w:t>
            </w:r>
            <w:r>
              <w:rPr>
                <w:szCs w:val="22"/>
              </w:rPr>
              <w:t xml:space="preserve">значением реквизита «Наименование ТОФК по месту открытия ЛС</w:t>
            </w:r>
            <w:r>
              <w:t xml:space="preserve">» родительского документа Заявление на изменение справочника «Книга регистрации лицевых счетов» </w:t>
            </w:r>
            <w:r>
              <w:rPr>
                <w:szCs w:val="22"/>
              </w:rPr>
              <w:t xml:space="preserve">Или автоматически значением реквизита «Наименование ТОФК по месту открытия ЛС</w:t>
            </w:r>
            <w:r>
              <w:t xml:space="preserve">» справочника «Книга регистрации лицевых счетов» выбранной записи «</w:t>
            </w:r>
            <w:r>
              <w:rPr>
                <w:szCs w:val="22"/>
              </w:rPr>
              <w:t xml:space="preserve">Лицевой счет ГЗ/ГИ/ИЗ» </w:t>
            </w:r>
            <w:r>
              <w:t xml:space="preserve">Или значением реквизита «Полное наименование» выбранной записи справочника «Сводный реестр» у которой «Код КОФК» = значению реквизита «Код ТОФК </w:t>
            </w:r>
            <w:r>
              <w:rPr>
                <w:szCs w:val="22"/>
              </w:rPr>
              <w:t xml:space="preserve">открытия ЛС ГЗ/ГИ/ИЗ».</w:t>
            </w:r>
            <w:r>
              <w:rPr>
                <w:szCs w:val="22"/>
              </w:rPr>
            </w:r>
          </w:p>
          <w:p>
            <w:pPr>
              <w:pStyle w:val="1316"/>
            </w:pPr>
            <w:r>
              <w:rPr>
                <w:szCs w:val="22"/>
              </w:rPr>
              <w:t xml:space="preserve">Если реквизит</w:t>
            </w:r>
            <w:r>
              <w:t xml:space="preserve"> «Тип Уведомления» = «Решение заказчика»</w:t>
            </w:r>
            <w:r>
              <w:rPr>
                <w:szCs w:val="22"/>
              </w:rPr>
              <w:t xml:space="preserve"> </w:t>
            </w:r>
            <w:r>
              <w:t xml:space="preserve">автоматически значением реквизита «Наименование ТОФК</w:t>
            </w:r>
            <w:r>
              <w:rPr>
                <w:szCs w:val="22"/>
              </w:rPr>
              <w:t xml:space="preserve"> открытия ЛС</w:t>
            </w:r>
            <w:r>
              <w:t xml:space="preserve">» родительского документа «Уведомление при открытии лицевого счета при казначейском сопровождении» с Типом Уведомления = «Приостановление».</w:t>
            </w:r>
            <w:r/>
          </w:p>
          <w:p>
            <w:pPr>
              <w:pStyle w:val="1316"/>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p>
        </w:tc>
      </w:tr>
      <w:tr>
        <w:tblPrEx/>
        <w:trPr/>
        <w:tc>
          <w:tcPr>
            <w:tcW w:w="1184" w:type="pct"/>
            <w:textDirection w:val="lrTb"/>
            <w:noWrap w:val="false"/>
          </w:tcPr>
          <w:p>
            <w:pPr>
              <w:pStyle w:val="1316"/>
            </w:pPr>
            <w:r>
              <w:t xml:space="preserve">ОКПО ТОФК </w:t>
            </w:r>
            <w:r>
              <w:rPr>
                <w:szCs w:val="22"/>
              </w:rPr>
              <w:t xml:space="preserve">открытия ЛС</w:t>
            </w:r>
            <w:r/>
          </w:p>
        </w:tc>
        <w:tc>
          <w:tcPr>
            <w:tcW w:w="878" w:type="pct"/>
            <w:textDirection w:val="lrTb"/>
            <w:noWrap w:val="false"/>
          </w:tcPr>
          <w:p>
            <w:pPr>
              <w:pStyle w:val="1316"/>
            </w:pPr>
            <w:r>
              <w:t xml:space="preserve">Да</w:t>
            </w:r>
            <w:r/>
          </w:p>
        </w:tc>
        <w:tc>
          <w:tcPr>
            <w:tcW w:w="2938" w:type="pct"/>
            <w:textDirection w:val="lrTb"/>
            <w:noWrap w:val="false"/>
          </w:tcPr>
          <w:p>
            <w:pPr>
              <w:pStyle w:val="1316"/>
              <w:rPr>
                <w:szCs w:val="22"/>
              </w:rPr>
            </w:pPr>
            <w:r>
              <w:rPr>
                <w:szCs w:val="22"/>
              </w:rPr>
              <w:t xml:space="preserve">Заполняется </w:t>
            </w:r>
            <w:r>
              <w:t xml:space="preserve">автоматически</w:t>
            </w:r>
            <w:r>
              <w:rPr>
                <w:szCs w:val="22"/>
              </w:rPr>
              <w:t xml:space="preserve"> </w:t>
            </w:r>
            <w:r>
              <w:rPr>
                <w:szCs w:val="22"/>
              </w:rPr>
              <w:t xml:space="preserve">значением реквизита «ОКПО</w:t>
            </w:r>
            <w:r>
              <w:t xml:space="preserve">» записи справочника «Сводный реестр», у которой реквизит «</w:t>
            </w:r>
            <w:r>
              <w:rPr>
                <w:szCs w:val="22"/>
              </w:rPr>
              <w:t xml:space="preserve">Код организации» = «</w:t>
            </w:r>
            <w:r>
              <w:t xml:space="preserve">Код ТОФК </w:t>
            </w:r>
            <w:r>
              <w:rPr>
                <w:szCs w:val="22"/>
              </w:rPr>
              <w:t xml:space="preserve">открытия ЛС</w:t>
            </w:r>
            <w:r>
              <w:t xml:space="preserve"> по СВР</w:t>
            </w:r>
            <w:r>
              <w:rPr>
                <w:szCs w:val="22"/>
              </w:rPr>
              <w:t xml:space="preserve">» Или автоматически значением реквизита «Наименование ТОФК по месту открытия ЛС</w:t>
            </w:r>
            <w:r>
              <w:t xml:space="preserve">» справочника «Книга регистрации лицевых счетов» выбранной записи «</w:t>
            </w:r>
            <w:r>
              <w:rPr>
                <w:szCs w:val="22"/>
              </w:rPr>
              <w:t xml:space="preserve">Лицевой счет ГЗ/ГИ/ИЗ» </w:t>
            </w:r>
            <w:r>
              <w:t xml:space="preserve">Или значением реквизита «ОКПО» выбранной записи справочника «Сводный реестр» у которой «Код КОФК» = значению реквизита «Код ТОФК </w:t>
            </w:r>
            <w:r>
              <w:rPr>
                <w:szCs w:val="22"/>
              </w:rPr>
              <w:t xml:space="preserve">открытия ЛС ГЗ/ГИ/ИЗ». </w:t>
            </w:r>
            <w:r>
              <w:rPr>
                <w:szCs w:val="22"/>
              </w:rPr>
            </w:r>
          </w:p>
          <w:p>
            <w:pPr>
              <w:pStyle w:val="1316"/>
            </w:pPr>
            <w:r>
              <w:rPr>
                <w:szCs w:val="22"/>
              </w:rPr>
              <w:t xml:space="preserve">Если реквизит</w:t>
            </w:r>
            <w:r>
              <w:t xml:space="preserve"> «Тип Уведомления» = «Решение заказчика»</w:t>
            </w:r>
            <w:r>
              <w:rPr>
                <w:szCs w:val="22"/>
              </w:rPr>
              <w:t xml:space="preserve"> </w:t>
            </w:r>
            <w:r>
              <w:t xml:space="preserve">автоматически значением реквизита «ОКПО ТОФК </w:t>
            </w:r>
            <w:r>
              <w:rPr>
                <w:szCs w:val="22"/>
              </w:rPr>
              <w:t xml:space="preserve">открытия ЛС</w:t>
            </w:r>
            <w:r>
              <w:t xml:space="preserve">» родительского документа «Уведомление при открытии лицевого счета при казначейском сопровождении» с Типом Уведомления = «Приостановление».</w:t>
            </w:r>
            <w:r/>
          </w:p>
          <w:p>
            <w:pPr>
              <w:pStyle w:val="1316"/>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p>
        </w:tc>
      </w:tr>
      <w:tr>
        <w:tblPrEx/>
        <w:trPr/>
        <w:tc>
          <w:tcPr>
            <w:gridSpan w:val="3"/>
            <w:shd w:val="clear" w:color="auto" w:fill="f2f2f2" w:themeFill="background1" w:themeFillShade="F2"/>
            <w:tcW w:w="5000" w:type="pct"/>
            <w:textDirection w:val="lrTb"/>
            <w:noWrap w:val="false"/>
          </w:tcPr>
          <w:p>
            <w:pPr>
              <w:pStyle w:val="1316"/>
            </w:pPr>
            <w:r>
              <w:rPr>
                <w:b/>
              </w:rPr>
              <w:t xml:space="preserve">Кому (Информация об исполнителе, клиенте)</w:t>
            </w:r>
            <w:r/>
          </w:p>
        </w:tc>
      </w:tr>
      <w:tr>
        <w:tblPrEx/>
        <w:trPr/>
        <w:tc>
          <w:tcPr>
            <w:tcW w:w="1184" w:type="pct"/>
            <w:textDirection w:val="lrTb"/>
            <w:noWrap w:val="false"/>
          </w:tcPr>
          <w:p>
            <w:pPr>
              <w:pStyle w:val="1316"/>
            </w:pPr>
            <w:r>
              <w:t xml:space="preserve">Код организации - исполнителя по СВР</w:t>
            </w:r>
            <w:r/>
          </w:p>
        </w:tc>
        <w:tc>
          <w:tcPr>
            <w:tcW w:w="878" w:type="pct"/>
            <w:textDirection w:val="lrTb"/>
            <w:noWrap w:val="false"/>
          </w:tcPr>
          <w:p>
            <w:pPr>
              <w:pStyle w:val="1316"/>
            </w:pPr>
            <w:r>
              <w:t xml:space="preserve">Да</w:t>
            </w:r>
            <w:r/>
          </w:p>
        </w:tc>
        <w:tc>
          <w:tcPr>
            <w:tcW w:w="2938" w:type="pct"/>
            <w:textDirection w:val="lrTb"/>
            <w:noWrap w:val="false"/>
          </w:tcPr>
          <w:p>
            <w:pPr>
              <w:pStyle w:val="1316"/>
              <w:rPr>
                <w:szCs w:val="22"/>
              </w:rPr>
            </w:pPr>
            <w:r>
              <w:rPr>
                <w:szCs w:val="22"/>
              </w:rPr>
              <w:t xml:space="preserve">Указывается </w:t>
            </w:r>
            <w:r>
              <w:t xml:space="preserve">Код организации-исполнителя по СВР.</w:t>
            </w:r>
            <w:r>
              <w:rPr>
                <w:szCs w:val="22"/>
              </w:rPr>
            </w:r>
          </w:p>
          <w:p>
            <w:pPr>
              <w:pStyle w:val="1316"/>
            </w:pPr>
            <w:r>
              <w:rPr>
                <w:szCs w:val="22"/>
              </w:rPr>
              <w:t xml:space="preserve">Заполняется </w:t>
            </w:r>
            <w:r>
              <w:t xml:space="preserve">автоматически</w:t>
            </w:r>
            <w:r>
              <w:rPr>
                <w:szCs w:val="22"/>
              </w:rPr>
              <w:t xml:space="preserve"> </w:t>
            </w:r>
            <w:r>
              <w:rPr>
                <w:szCs w:val="22"/>
              </w:rPr>
              <w:t xml:space="preserve">значением реквизита «</w:t>
            </w:r>
            <w:r>
              <w:t xml:space="preserve">Код клиента по Сводному реестру / реестру ИП, КФХ» родительского документа Заявление на изменение справочника «Книга регистрации лицевых счетов».</w:t>
            </w:r>
            <w:r/>
          </w:p>
          <w:p>
            <w:pPr>
              <w:pStyle w:val="1316"/>
            </w:pPr>
            <w:r>
              <w:rPr>
                <w:szCs w:val="22"/>
              </w:rPr>
              <w:t xml:space="preserve">Если реквизит</w:t>
            </w:r>
            <w:r>
              <w:t xml:space="preserve"> «Тип Уведомления» = «Решение заказчика»</w:t>
            </w:r>
            <w:r>
              <w:rPr>
                <w:szCs w:val="22"/>
              </w:rPr>
              <w:t xml:space="preserve"> </w:t>
            </w:r>
            <w:r>
              <w:t xml:space="preserve">автоматически значением реквизита «Код организа</w:t>
            </w:r>
            <w:r>
              <w:t xml:space="preserve">ции - исполнителя по СВР» родительского документа «Уведомление при открытии лицевого счета при казначейском сопровождении» с Типом Уведомления = «Приостановление».</w:t>
            </w:r>
            <w:r/>
          </w:p>
          <w:p>
            <w:pPr>
              <w:pStyle w:val="1316"/>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p>
        </w:tc>
      </w:tr>
      <w:tr>
        <w:tblPrEx/>
        <w:trPr/>
        <w:tc>
          <w:tcPr>
            <w:tcW w:w="1184" w:type="pct"/>
            <w:textDirection w:val="lrTb"/>
            <w:noWrap w:val="false"/>
          </w:tcPr>
          <w:p>
            <w:pPr>
              <w:pStyle w:val="1316"/>
            </w:pPr>
            <w:r>
              <w:t xml:space="preserve">Наименование организации-исполнителя</w:t>
            </w:r>
            <w:r/>
          </w:p>
        </w:tc>
        <w:tc>
          <w:tcPr>
            <w:tcW w:w="878" w:type="pct"/>
            <w:textDirection w:val="lrTb"/>
            <w:noWrap w:val="false"/>
          </w:tcPr>
          <w:p>
            <w:pPr>
              <w:pStyle w:val="1316"/>
            </w:pPr>
            <w:r>
              <w:t xml:space="preserve">Да</w:t>
            </w:r>
            <w:r/>
          </w:p>
        </w:tc>
        <w:tc>
          <w:tcPr>
            <w:tcW w:w="2938" w:type="pct"/>
            <w:textDirection w:val="lrTb"/>
            <w:noWrap w:val="false"/>
          </w:tcPr>
          <w:p>
            <w:pPr>
              <w:pStyle w:val="1316"/>
            </w:pPr>
            <w:r>
              <w:rPr>
                <w:szCs w:val="22"/>
              </w:rPr>
              <w:t xml:space="preserve">Указывается </w:t>
            </w:r>
            <w:r>
              <w:t xml:space="preserve">наименование организации-исполнителя. </w:t>
            </w:r>
            <w:r/>
          </w:p>
          <w:p>
            <w:pPr>
              <w:pStyle w:val="1316"/>
            </w:pPr>
            <w:r>
              <w:rPr>
                <w:szCs w:val="22"/>
              </w:rPr>
              <w:t xml:space="preserve">Заполняется </w:t>
            </w:r>
            <w:r>
              <w:t xml:space="preserve">автоматически</w:t>
            </w:r>
            <w:r>
              <w:rPr>
                <w:szCs w:val="22"/>
              </w:rPr>
              <w:t xml:space="preserve"> </w:t>
            </w:r>
            <w:r>
              <w:rPr>
                <w:szCs w:val="22"/>
              </w:rPr>
              <w:t xml:space="preserve">значением реквизита «Полное наименование организации</w:t>
            </w:r>
            <w:r>
              <w:t xml:space="preserve">» родительского документа Заявление на изменение справочника «Книга регистрации лицевых счетов». </w:t>
            </w:r>
            <w:r/>
          </w:p>
          <w:p>
            <w:pPr>
              <w:pStyle w:val="1316"/>
            </w:pPr>
            <w:r>
              <w:rPr>
                <w:szCs w:val="22"/>
              </w:rPr>
              <w:t xml:space="preserve">Если реквизит</w:t>
            </w:r>
            <w:r>
              <w:t xml:space="preserve"> «Тип Уведомления» = «Решение заказчика»</w:t>
            </w:r>
            <w:r>
              <w:rPr>
                <w:szCs w:val="22"/>
              </w:rPr>
              <w:t xml:space="preserve"> </w:t>
            </w:r>
            <w:r>
              <w:t xml:space="preserve">автоматически значением реквизита «Наименование организации-исполнителя» родительского документа «Уведомление при открытии лицевого счета при казначейском сопровождении» с Типом Уведомления = «Приостановление».</w:t>
            </w:r>
            <w:r/>
          </w:p>
          <w:p>
            <w:pPr>
              <w:pStyle w:val="1316"/>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p>
        </w:tc>
      </w:tr>
      <w:tr>
        <w:tblPrEx/>
        <w:trPr/>
        <w:tc>
          <w:tcPr>
            <w:tcW w:w="1184" w:type="pct"/>
            <w:textDirection w:val="lrTb"/>
            <w:noWrap w:val="false"/>
          </w:tcPr>
          <w:p>
            <w:pPr>
              <w:pStyle w:val="1316"/>
            </w:pPr>
            <w:r>
              <w:rPr>
                <w:szCs w:val="22"/>
              </w:rPr>
              <w:t xml:space="preserve">Код по ОКПО исполнителя</w:t>
            </w:r>
            <w:r/>
          </w:p>
        </w:tc>
        <w:tc>
          <w:tcPr>
            <w:tcW w:w="878" w:type="pct"/>
            <w:textDirection w:val="lrTb"/>
            <w:noWrap w:val="false"/>
          </w:tcPr>
          <w:p>
            <w:pPr>
              <w:pStyle w:val="1316"/>
            </w:pPr>
            <w:r>
              <w:t xml:space="preserve">Да</w:t>
            </w:r>
            <w:r/>
          </w:p>
        </w:tc>
        <w:tc>
          <w:tcPr>
            <w:tcW w:w="2938" w:type="pct"/>
            <w:textDirection w:val="lrTb"/>
            <w:noWrap w:val="false"/>
          </w:tcPr>
          <w:p>
            <w:pPr>
              <w:pStyle w:val="1316"/>
              <w:rPr>
                <w:szCs w:val="22"/>
              </w:rPr>
            </w:pPr>
            <w:r>
              <w:rPr>
                <w:szCs w:val="22"/>
              </w:rPr>
              <w:t xml:space="preserve">Указывается </w:t>
            </w:r>
            <w:r>
              <w:t xml:space="preserve">ОКПО организации-исполнителя.</w:t>
            </w:r>
            <w:r>
              <w:rPr>
                <w:szCs w:val="22"/>
              </w:rPr>
            </w:r>
          </w:p>
          <w:p>
            <w:pPr>
              <w:pStyle w:val="1316"/>
              <w:rPr>
                <w:szCs w:val="22"/>
              </w:rPr>
            </w:pPr>
            <w:r>
              <w:rPr>
                <w:szCs w:val="22"/>
              </w:rPr>
              <w:t xml:space="preserve">Заполняется </w:t>
            </w:r>
            <w:r>
              <w:t xml:space="preserve">автоматически</w:t>
            </w:r>
            <w:r>
              <w:rPr>
                <w:szCs w:val="22"/>
              </w:rPr>
              <w:t xml:space="preserve"> </w:t>
            </w:r>
            <w:r>
              <w:rPr>
                <w:szCs w:val="22"/>
              </w:rPr>
              <w:t xml:space="preserve">значением реквизита «ОКПО</w:t>
            </w:r>
            <w:r>
              <w:t xml:space="preserve">» родительского документа Заявление на изменение справочника «Книга регистрации лицевых счетов».</w:t>
            </w:r>
            <w:r>
              <w:rPr>
                <w:szCs w:val="22"/>
              </w:rPr>
              <w:t xml:space="preserve"> </w:t>
            </w:r>
            <w:r>
              <w:rPr>
                <w:szCs w:val="22"/>
              </w:rPr>
            </w:r>
          </w:p>
          <w:p>
            <w:pPr>
              <w:pStyle w:val="1316"/>
              <w:rPr>
                <w:szCs w:val="22"/>
              </w:rPr>
            </w:pPr>
            <w:r>
              <w:rPr>
                <w:szCs w:val="22"/>
              </w:rPr>
              <w:t xml:space="preserve">Длина поля строго ограничена количеством символов: 8 – для УБП/ НУБП/ БУ/ АУ/ ФГУП/ ГУП/ МУП/ ЮЛ или 10 – для ИП.</w:t>
            </w:r>
            <w:r>
              <w:rPr>
                <w:szCs w:val="22"/>
              </w:rPr>
            </w:r>
          </w:p>
          <w:p>
            <w:pPr>
              <w:pStyle w:val="1316"/>
            </w:pPr>
            <w:r>
              <w:rPr>
                <w:szCs w:val="22"/>
              </w:rPr>
              <w:t xml:space="preserve">Если реквизит</w:t>
            </w:r>
            <w:r>
              <w:t xml:space="preserve"> «Тип Уведомления» = «Решение заказчика»</w:t>
            </w:r>
            <w:r>
              <w:rPr>
                <w:szCs w:val="22"/>
              </w:rPr>
              <w:t xml:space="preserve"> </w:t>
            </w:r>
            <w:r>
              <w:t xml:space="preserve">автоматически значением реквизита «</w:t>
            </w:r>
            <w:r>
              <w:rPr>
                <w:szCs w:val="22"/>
              </w:rPr>
              <w:t xml:space="preserve">Код по ОКПО исполнителя</w:t>
            </w:r>
            <w:r>
              <w:t xml:space="preserve">» родительского документа «Уведомление при открытии лицевого счета при казначейском сопровождении» с Типом Уведомления = «Приостановление».</w:t>
            </w:r>
            <w:r/>
          </w:p>
          <w:p>
            <w:pPr>
              <w:pStyle w:val="1316"/>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p>
        </w:tc>
      </w:tr>
      <w:tr>
        <w:tblPrEx/>
        <w:trPr/>
        <w:tc>
          <w:tcPr>
            <w:tcW w:w="1184" w:type="pct"/>
            <w:textDirection w:val="lrTb"/>
            <w:noWrap w:val="false"/>
          </w:tcPr>
          <w:p>
            <w:pPr>
              <w:pStyle w:val="1316"/>
            </w:pPr>
            <w:r>
              <w:t xml:space="preserve">Номер лицевого счета</w:t>
            </w:r>
            <w:r/>
          </w:p>
        </w:tc>
        <w:tc>
          <w:tcPr>
            <w:tcW w:w="878" w:type="pct"/>
            <w:textDirection w:val="lrTb"/>
            <w:noWrap w:val="false"/>
          </w:tcPr>
          <w:p>
            <w:pPr>
              <w:pStyle w:val="1316"/>
            </w:pPr>
            <w:r>
              <w:t xml:space="preserve">Да</w:t>
            </w:r>
            <w:r/>
          </w:p>
        </w:tc>
        <w:tc>
          <w:tcPr>
            <w:tcW w:w="2938" w:type="pct"/>
            <w:textDirection w:val="lrTb"/>
            <w:noWrap w:val="false"/>
          </w:tcPr>
          <w:p>
            <w:pPr>
              <w:pStyle w:val="1316"/>
              <w:rPr>
                <w:szCs w:val="22"/>
              </w:rPr>
            </w:pPr>
            <w:r>
              <w:rPr>
                <w:szCs w:val="22"/>
              </w:rPr>
              <w:t xml:space="preserve">Указывается </w:t>
            </w:r>
            <w:r>
              <w:t xml:space="preserve">номер лицевого счета организации-исполнителя.</w:t>
            </w:r>
            <w:r>
              <w:rPr>
                <w:szCs w:val="22"/>
              </w:rPr>
            </w:r>
          </w:p>
          <w:p>
            <w:pPr>
              <w:pStyle w:val="1316"/>
            </w:pPr>
            <w:r>
              <w:rPr>
                <w:szCs w:val="22"/>
              </w:rPr>
              <w:t xml:space="preserve">Заполняется </w:t>
            </w:r>
            <w:r>
              <w:t xml:space="preserve">автоматически</w:t>
            </w:r>
            <w:r>
              <w:rPr>
                <w:szCs w:val="22"/>
              </w:rPr>
              <w:t xml:space="preserve"> </w:t>
            </w:r>
            <w:r>
              <w:rPr>
                <w:szCs w:val="22"/>
              </w:rPr>
              <w:t xml:space="preserve">значением реквизита «</w:t>
            </w:r>
            <w:r>
              <w:t xml:space="preserve">Номер лицевого счета» родительского документа Заявление на изменение справочника «Книга регистрации лицевых счетов».</w:t>
            </w:r>
            <w:r/>
          </w:p>
          <w:p>
            <w:pPr>
              <w:pStyle w:val="1316"/>
            </w:pPr>
            <w:r>
              <w:rPr>
                <w:szCs w:val="22"/>
              </w:rPr>
              <w:t xml:space="preserve">Если реквизит</w:t>
            </w:r>
            <w:r>
              <w:t xml:space="preserve"> «Тип Уведомления» = «Решение заказчика»</w:t>
            </w:r>
            <w:r>
              <w:rPr>
                <w:szCs w:val="22"/>
              </w:rPr>
              <w:t xml:space="preserve"> </w:t>
            </w:r>
            <w:r>
              <w:t xml:space="preserve">автоматически значением реквизита «Номер лицевого счета» родительского документа «Уведомление при открытии лицевого счета при казначейском сопровождении» с Типом Уведомления = «Приостановление».</w:t>
            </w:r>
            <w:r/>
          </w:p>
          <w:p>
            <w:pPr>
              <w:pStyle w:val="1316"/>
            </w:pPr>
            <w:r>
              <w:t xml:space="preserve">Если реквизит «</w:t>
            </w:r>
            <w:r>
              <w:rPr>
                <w:szCs w:val="22"/>
              </w:rPr>
              <w:t xml:space="preserve">Система-инициатор</w:t>
            </w:r>
            <w:r>
              <w:t xml:space="preserve">» =</w:t>
            </w:r>
            <w:r>
              <w:rPr>
                <w:szCs w:val="22"/>
              </w:rPr>
              <w:t xml:space="preserve"> «СМЭВ», то </w:t>
            </w:r>
            <w:r>
              <w:t xml:space="preserve">за</w:t>
            </w:r>
            <w:r>
              <w:t xml:space="preserve">полняется автоматически из соответствующего реквизита из СМЭВ</w:t>
            </w:r>
            <w:r/>
          </w:p>
        </w:tc>
      </w:tr>
      <w:tr>
        <w:tblPrEx/>
        <w:trPr/>
        <w:tc>
          <w:tcPr>
            <w:tcW w:w="1184" w:type="pct"/>
            <w:textDirection w:val="lrTb"/>
            <w:noWrap w:val="false"/>
          </w:tcPr>
          <w:p>
            <w:pPr>
              <w:pStyle w:val="1316"/>
            </w:pPr>
            <w:r>
              <w:t xml:space="preserve">ИНН организации-исполнителя</w:t>
            </w:r>
            <w:r/>
          </w:p>
        </w:tc>
        <w:tc>
          <w:tcPr>
            <w:tcW w:w="878" w:type="pct"/>
            <w:textDirection w:val="lrTb"/>
            <w:noWrap w:val="false"/>
          </w:tcPr>
          <w:p>
            <w:pPr>
              <w:pStyle w:val="1316"/>
            </w:pPr>
            <w:r>
              <w:t xml:space="preserve">Нет</w:t>
            </w:r>
            <w:r/>
          </w:p>
        </w:tc>
        <w:tc>
          <w:tcPr>
            <w:tcW w:w="2938" w:type="pct"/>
            <w:textDirection w:val="lrTb"/>
            <w:noWrap w:val="false"/>
          </w:tcPr>
          <w:p>
            <w:pPr>
              <w:pStyle w:val="1316"/>
              <w:rPr>
                <w:szCs w:val="22"/>
              </w:rPr>
            </w:pPr>
            <w:r>
              <w:rPr>
                <w:szCs w:val="22"/>
              </w:rPr>
              <w:t xml:space="preserve">Указывается </w:t>
            </w:r>
            <w:r>
              <w:t xml:space="preserve">ИНН головного исполнителя, исполнителя.</w:t>
            </w:r>
            <w:r>
              <w:rPr>
                <w:szCs w:val="22"/>
              </w:rPr>
            </w:r>
          </w:p>
          <w:p>
            <w:pPr>
              <w:pStyle w:val="1316"/>
            </w:pPr>
            <w:r>
              <w:rPr>
                <w:szCs w:val="22"/>
              </w:rPr>
              <w:t xml:space="preserve">Заполняется </w:t>
            </w:r>
            <w:r>
              <w:t xml:space="preserve">автоматически </w:t>
            </w:r>
            <w:r>
              <w:rPr>
                <w:szCs w:val="22"/>
              </w:rPr>
              <w:t xml:space="preserve">значением реквизита «ИНН</w:t>
            </w:r>
            <w:r>
              <w:t xml:space="preserve">» родительского документа Заявление на изменение справочника «Книга регистрации лицевых счетов».</w:t>
            </w:r>
            <w:r/>
          </w:p>
          <w:p>
            <w:pPr>
              <w:pStyle w:val="1316"/>
            </w:pPr>
            <w:r>
              <w:rPr>
                <w:szCs w:val="22"/>
              </w:rPr>
              <w:t xml:space="preserve">Если реквизит</w:t>
            </w:r>
            <w:r>
              <w:t xml:space="preserve"> «Тип Уведомления» = «Решение заказчика»</w:t>
            </w:r>
            <w:r>
              <w:rPr>
                <w:szCs w:val="22"/>
              </w:rPr>
              <w:t xml:space="preserve"> </w:t>
            </w:r>
            <w:r>
              <w:t xml:space="preserve">автоматически значением реквизита «ИНН организации-исполнителя» родительского документа «Уведомление при открытии лицевого счета при казначейском сопровождении» с Типом Уведомления = «Приостановление».</w:t>
            </w:r>
            <w:r/>
          </w:p>
          <w:p>
            <w:pPr>
              <w:pStyle w:val="1316"/>
              <w:rPr>
                <w:szCs w:val="22"/>
              </w:rPr>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rPr>
                <w:szCs w:val="22"/>
              </w:rPr>
            </w:r>
          </w:p>
        </w:tc>
      </w:tr>
      <w:tr>
        <w:tblPrEx/>
        <w:trPr/>
        <w:tc>
          <w:tcPr>
            <w:gridSpan w:val="3"/>
            <w:shd w:val="clear" w:color="auto" w:fill="f2f2f2" w:themeFill="background1" w:themeFillShade="F2"/>
            <w:tcW w:w="5000" w:type="pct"/>
            <w:textDirection w:val="lrTb"/>
            <w:noWrap w:val="false"/>
          </w:tcPr>
          <w:p>
            <w:pPr>
              <w:pStyle w:val="1316"/>
            </w:pPr>
            <w:r>
              <w:rPr>
                <w:b/>
              </w:rPr>
              <w:t xml:space="preserve">Сведения о ЛС</w:t>
            </w:r>
            <w:r/>
          </w:p>
        </w:tc>
      </w:tr>
      <w:tr>
        <w:tblPrEx/>
        <w:trPr/>
        <w:tc>
          <w:tcPr>
            <w:tcW w:w="1184" w:type="pct"/>
            <w:textDirection w:val="lrTb"/>
            <w:noWrap w:val="false"/>
          </w:tcPr>
          <w:p>
            <w:pPr>
              <w:pStyle w:val="1316"/>
            </w:pPr>
            <w:r>
              <w:t xml:space="preserve">ИГК</w:t>
            </w:r>
            <w:r/>
          </w:p>
        </w:tc>
        <w:tc>
          <w:tcPr>
            <w:tcW w:w="878" w:type="pct"/>
            <w:textDirection w:val="lrTb"/>
            <w:noWrap w:val="false"/>
          </w:tcPr>
          <w:p>
            <w:pPr>
              <w:pStyle w:val="1316"/>
            </w:pPr>
            <w:r>
              <w:t xml:space="preserve">Да</w:t>
            </w:r>
            <w:r/>
          </w:p>
        </w:tc>
        <w:tc>
          <w:tcPr>
            <w:tcW w:w="2938" w:type="pct"/>
            <w:textDirection w:val="lrTb"/>
            <w:noWrap w:val="false"/>
          </w:tcPr>
          <w:p>
            <w:pPr>
              <w:pStyle w:val="1316"/>
            </w:pPr>
            <w:r>
              <w:t xml:space="preserve">Указывается идентификатор государственного контракта, </w:t>
            </w:r>
            <w:r>
              <w:rPr>
                <w:szCs w:val="22"/>
              </w:rPr>
              <w:t xml:space="preserve">контракта учреждения, соглашения, договора о капитальных вложениях в установленных НПА случаях.</w:t>
            </w:r>
            <w:r/>
          </w:p>
          <w:p>
            <w:pPr>
              <w:pStyle w:val="1316"/>
            </w:pPr>
            <w:r>
              <w:t xml:space="preserve">Заполняется автоматически</w:t>
            </w:r>
            <w:r>
              <w:rPr>
                <w:szCs w:val="22"/>
              </w:rPr>
              <w:t xml:space="preserve"> </w:t>
            </w:r>
            <w:r>
              <w:rPr>
                <w:szCs w:val="22"/>
              </w:rPr>
              <w:t xml:space="preserve">значением реквизита «ИГК</w:t>
            </w:r>
            <w:r>
              <w:t xml:space="preserve">» родительского документа Заявление на изменение справочника «Книга регистрации лицевых счетов».</w:t>
            </w:r>
            <w:r/>
          </w:p>
          <w:p>
            <w:pPr>
              <w:pStyle w:val="1316"/>
            </w:pPr>
            <w:r>
              <w:t xml:space="preserve">В случае указания несколько ИКГ в заявке на открытие ЛС в уведомление передается только первый указанный ИГК.</w:t>
            </w:r>
            <w:r/>
          </w:p>
          <w:p>
            <w:pPr>
              <w:pStyle w:val="1316"/>
            </w:pPr>
            <w:r>
              <w:rPr>
                <w:szCs w:val="22"/>
              </w:rPr>
              <w:t xml:space="preserve">Если реквизит</w:t>
            </w:r>
            <w:r>
              <w:t xml:space="preserve"> «Тип Уведомления» = «Решение заказчика»</w:t>
            </w:r>
            <w:r>
              <w:rPr>
                <w:szCs w:val="22"/>
              </w:rPr>
              <w:t xml:space="preserve"> </w:t>
            </w:r>
            <w:r>
              <w:t xml:space="preserve">автоматически значением реквизита «ИГК» родительского документа «Уведомление при открытии лицевого счета при казначейском сопровождении» с Типом Уведомления = «Приостановление».</w:t>
            </w:r>
            <w:r/>
          </w:p>
          <w:p>
            <w:pPr>
              <w:pStyle w:val="1316"/>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p>
        </w:tc>
      </w:tr>
      <w:tr>
        <w:tblPrEx/>
        <w:trPr/>
        <w:tc>
          <w:tcPr>
            <w:tcW w:w="1184" w:type="pct"/>
            <w:textDirection w:val="lrTb"/>
            <w:noWrap w:val="false"/>
          </w:tcPr>
          <w:p>
            <w:pPr>
              <w:pStyle w:val="1316"/>
            </w:pPr>
            <w:r>
              <w:t xml:space="preserve">Номер государственного контракта, контракта (договора)</w:t>
            </w:r>
            <w:r/>
          </w:p>
        </w:tc>
        <w:tc>
          <w:tcPr>
            <w:tcW w:w="878" w:type="pct"/>
            <w:textDirection w:val="lrTb"/>
            <w:noWrap w:val="false"/>
          </w:tcPr>
          <w:p>
            <w:pPr>
              <w:pStyle w:val="1316"/>
            </w:pPr>
            <w:r>
              <w:t xml:space="preserve">Да</w:t>
            </w:r>
            <w:r/>
          </w:p>
        </w:tc>
        <w:tc>
          <w:tcPr>
            <w:tcW w:w="2938" w:type="pct"/>
            <w:textDirection w:val="lrTb"/>
            <w:noWrap w:val="false"/>
          </w:tcPr>
          <w:p>
            <w:pPr>
              <w:pStyle w:val="1316"/>
            </w:pPr>
            <w:r>
              <w:t xml:space="preserve">Указывается Номер государственного контракта.</w:t>
            </w:r>
            <w:r/>
          </w:p>
          <w:p>
            <w:pPr>
              <w:pStyle w:val="1316"/>
            </w:pPr>
            <w:r>
              <w:t xml:space="preserve">Заполняется автоматически</w:t>
            </w:r>
            <w:r>
              <w:rPr>
                <w:szCs w:val="22"/>
              </w:rPr>
              <w:t xml:space="preserve"> </w:t>
            </w:r>
            <w:r>
              <w:rPr>
                <w:szCs w:val="22"/>
              </w:rPr>
              <w:t xml:space="preserve">значением реквизита «Номер документа</w:t>
            </w:r>
            <w:r>
              <w:t xml:space="preserve">» родительского документа Заявление на изменение справочника «Книга регистрации лицевых счетов».</w:t>
            </w:r>
            <w:r/>
          </w:p>
          <w:p>
            <w:pPr>
              <w:pStyle w:val="1316"/>
            </w:pPr>
            <w:r>
              <w:rPr>
                <w:szCs w:val="22"/>
              </w:rPr>
              <w:t xml:space="preserve">Если реквизит</w:t>
            </w:r>
            <w:r>
              <w:t xml:space="preserve"> «Тип Уведомления» = «Решение заказчика»</w:t>
            </w:r>
            <w:r>
              <w:rPr>
                <w:szCs w:val="22"/>
              </w:rPr>
              <w:t xml:space="preserve"> </w:t>
            </w:r>
            <w:r>
              <w:t xml:space="preserve">автоматически значением реквизита «Номер государственного контракта, контракта (договора)» родительского документа «Уведомление при открытии лицевого счета при казначейском сопровождении» с Типом Уведомления = «Приостановление».</w:t>
            </w:r>
            <w:r/>
          </w:p>
          <w:p>
            <w:pPr>
              <w:pStyle w:val="1316"/>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p>
        </w:tc>
      </w:tr>
      <w:tr>
        <w:tblPrEx/>
        <w:trPr/>
        <w:tc>
          <w:tcPr>
            <w:tcW w:w="1184" w:type="pct"/>
            <w:textDirection w:val="lrTb"/>
            <w:noWrap w:val="false"/>
          </w:tcPr>
          <w:p>
            <w:pPr>
              <w:pStyle w:val="1316"/>
            </w:pPr>
            <w:r>
              <w:t xml:space="preserve">Дата государственно</w:t>
            </w:r>
            <w:r>
              <w:t xml:space="preserve">го контракта, контракта (договора)</w:t>
            </w:r>
            <w:r/>
          </w:p>
        </w:tc>
        <w:tc>
          <w:tcPr>
            <w:tcW w:w="878" w:type="pct"/>
            <w:textDirection w:val="lrTb"/>
            <w:noWrap w:val="false"/>
          </w:tcPr>
          <w:p>
            <w:pPr>
              <w:pStyle w:val="1316"/>
            </w:pPr>
            <w:r>
              <w:t xml:space="preserve">Да</w:t>
            </w:r>
            <w:r/>
          </w:p>
        </w:tc>
        <w:tc>
          <w:tcPr>
            <w:tcW w:w="2938" w:type="pct"/>
            <w:textDirection w:val="lrTb"/>
            <w:noWrap w:val="false"/>
          </w:tcPr>
          <w:p>
            <w:pPr>
              <w:pStyle w:val="1316"/>
            </w:pPr>
            <w:r>
              <w:t xml:space="preserve">Указывается дата государственного контракта.</w:t>
            </w:r>
            <w:r/>
          </w:p>
          <w:p>
            <w:pPr>
              <w:pStyle w:val="1316"/>
              <w:rPr>
                <w:szCs w:val="22"/>
              </w:rPr>
            </w:pPr>
            <w:r>
              <w:t xml:space="preserve">Заполняется автоматически</w:t>
            </w:r>
            <w:r>
              <w:rPr>
                <w:szCs w:val="22"/>
              </w:rPr>
              <w:t xml:space="preserve"> </w:t>
            </w:r>
            <w:r>
              <w:rPr>
                <w:szCs w:val="22"/>
              </w:rPr>
              <w:t xml:space="preserve">значением реквизита «Дата документа</w:t>
            </w:r>
            <w:r>
              <w:t xml:space="preserve">» родительского документа Заявление на изменение справочника «Книга регистрации лицевых счетов».</w:t>
            </w:r>
            <w:r>
              <w:rPr>
                <w:szCs w:val="22"/>
              </w:rPr>
            </w:r>
          </w:p>
          <w:p>
            <w:pPr>
              <w:pStyle w:val="1316"/>
            </w:pPr>
            <w:r>
              <w:rPr>
                <w:szCs w:val="22"/>
              </w:rPr>
              <w:t xml:space="preserve">Если реквизит</w:t>
            </w:r>
            <w:r>
              <w:t xml:space="preserve"> «Тип Уведомления» = «Решение заказчика»</w:t>
            </w:r>
            <w:r>
              <w:rPr>
                <w:szCs w:val="22"/>
              </w:rPr>
              <w:t xml:space="preserve"> </w:t>
            </w:r>
            <w:r>
              <w:t xml:space="preserve">автоматически значением реквизита «Дата государственного контракта, контракта (договора)» родительского документа «Уведомление при открытии лицевого счета при казначейском сопровождении» с Типом Уведомления = «Приостановление».</w:t>
            </w:r>
            <w:r/>
          </w:p>
          <w:p>
            <w:pPr>
              <w:pStyle w:val="1316"/>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p>
        </w:tc>
      </w:tr>
      <w:tr>
        <w:tblPrEx/>
        <w:trPr/>
        <w:tc>
          <w:tcPr>
            <w:tcW w:w="1184" w:type="pct"/>
            <w:textDirection w:val="lrTb"/>
            <w:noWrap w:val="false"/>
          </w:tcPr>
          <w:p>
            <w:pPr>
              <w:pStyle w:val="1316"/>
            </w:pPr>
            <w:r>
              <w:t xml:space="preserve">ИНН контрагента</w:t>
            </w:r>
            <w:r/>
          </w:p>
        </w:tc>
        <w:tc>
          <w:tcPr>
            <w:tcW w:w="878" w:type="pct"/>
            <w:textDirection w:val="lrTb"/>
            <w:noWrap w:val="false"/>
          </w:tcPr>
          <w:p>
            <w:pPr>
              <w:pStyle w:val="1316"/>
            </w:pPr>
            <w:r>
              <w:t xml:space="preserve">Да</w:t>
            </w:r>
            <w:r/>
          </w:p>
        </w:tc>
        <w:tc>
          <w:tcPr>
            <w:tcW w:w="2938" w:type="pct"/>
            <w:textDirection w:val="lrTb"/>
            <w:noWrap w:val="false"/>
          </w:tcPr>
          <w:p>
            <w:pPr>
              <w:pStyle w:val="1316"/>
            </w:pPr>
            <w:r>
              <w:t xml:space="preserve">Указывается ИНН контрагента по государственному контракту.</w:t>
            </w:r>
            <w:r/>
          </w:p>
          <w:p>
            <w:pPr>
              <w:pStyle w:val="1316"/>
              <w:rPr>
                <w:szCs w:val="22"/>
              </w:rPr>
            </w:pPr>
            <w:r>
              <w:t xml:space="preserve">Заполняется автоматически</w:t>
            </w:r>
            <w:r>
              <w:rPr>
                <w:szCs w:val="22"/>
              </w:rPr>
              <w:t xml:space="preserve"> </w:t>
            </w:r>
            <w:r>
              <w:rPr>
                <w:szCs w:val="22"/>
              </w:rPr>
              <w:t xml:space="preserve">значением реквизита «ИНН</w:t>
            </w:r>
            <w:r>
              <w:t xml:space="preserve">» родительского документа Заявление на изменение справочника «Книга регистрации лицевых счетов».</w:t>
            </w:r>
            <w:r>
              <w:rPr>
                <w:szCs w:val="22"/>
              </w:rPr>
            </w:r>
          </w:p>
          <w:p>
            <w:pPr>
              <w:pStyle w:val="1316"/>
            </w:pPr>
            <w:r>
              <w:rPr>
                <w:szCs w:val="22"/>
              </w:rPr>
              <w:t xml:space="preserve">Если реквизит</w:t>
            </w:r>
            <w:r>
              <w:t xml:space="preserve"> «Тип Уведомления» = «Решение заказчика»</w:t>
            </w:r>
            <w:r>
              <w:rPr>
                <w:szCs w:val="22"/>
              </w:rPr>
              <w:t xml:space="preserve"> </w:t>
            </w:r>
            <w:r>
              <w:t xml:space="preserve">автоматически значением реквизита «ИНН контрагента» родительского документа «Уведомление при открытии лицевого счета при казначейском сопровождении» с Типом Уведомления = «Приостановление».</w:t>
            </w:r>
            <w:r/>
          </w:p>
          <w:p>
            <w:pPr>
              <w:pStyle w:val="1316"/>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p>
        </w:tc>
      </w:tr>
      <w:tr>
        <w:tblPrEx/>
        <w:trPr/>
        <w:tc>
          <w:tcPr>
            <w:tcW w:w="1184" w:type="pct"/>
            <w:textDirection w:val="lrTb"/>
            <w:noWrap w:val="false"/>
          </w:tcPr>
          <w:p>
            <w:pPr>
              <w:pStyle w:val="1316"/>
            </w:pPr>
            <w:r>
              <w:t xml:space="preserve">Наименование контрагента</w:t>
            </w:r>
            <w:r/>
          </w:p>
        </w:tc>
        <w:tc>
          <w:tcPr>
            <w:tcW w:w="878" w:type="pct"/>
            <w:textDirection w:val="lrTb"/>
            <w:noWrap w:val="false"/>
          </w:tcPr>
          <w:p>
            <w:pPr>
              <w:pStyle w:val="1316"/>
            </w:pPr>
            <w:r>
              <w:t xml:space="preserve">Да</w:t>
            </w:r>
            <w:r/>
          </w:p>
        </w:tc>
        <w:tc>
          <w:tcPr>
            <w:tcW w:w="2938" w:type="pct"/>
            <w:textDirection w:val="lrTb"/>
            <w:noWrap w:val="false"/>
          </w:tcPr>
          <w:p>
            <w:pPr>
              <w:pStyle w:val="1316"/>
            </w:pPr>
            <w:r>
              <w:t xml:space="preserve">Указывается наименование контрагента по государственному контракту.</w:t>
            </w:r>
            <w:r/>
          </w:p>
          <w:p>
            <w:pPr>
              <w:pStyle w:val="1316"/>
              <w:rPr>
                <w:szCs w:val="22"/>
              </w:rPr>
            </w:pPr>
            <w:r>
              <w:t xml:space="preserve">Заполняется автоматически</w:t>
            </w:r>
            <w:r>
              <w:rPr>
                <w:szCs w:val="22"/>
              </w:rPr>
              <w:t xml:space="preserve"> </w:t>
            </w:r>
            <w:r>
              <w:rPr>
                <w:szCs w:val="22"/>
              </w:rPr>
              <w:t xml:space="preserve">значением реквизита «Полное наименование организации</w:t>
            </w:r>
            <w:r>
              <w:t xml:space="preserve">» родительского документа Заявление на изменение справочника «Книга регистрации лицевых счетов».</w:t>
            </w:r>
            <w:r>
              <w:rPr>
                <w:szCs w:val="22"/>
              </w:rPr>
            </w:r>
          </w:p>
          <w:p>
            <w:pPr>
              <w:pStyle w:val="1316"/>
            </w:pPr>
            <w:r>
              <w:rPr>
                <w:szCs w:val="22"/>
              </w:rPr>
              <w:t xml:space="preserve">Если реквизит</w:t>
            </w:r>
            <w:r>
              <w:t xml:space="preserve"> «Тип Уведомления» = «Решение заказчика»</w:t>
            </w:r>
            <w:r>
              <w:rPr>
                <w:szCs w:val="22"/>
              </w:rPr>
              <w:t xml:space="preserve"> </w:t>
            </w:r>
            <w:r>
              <w:t xml:space="preserve">автоматически значением реквизита «Наименование контрагента» родительского документа «Уведомление при открытии лицевого счета при казначейском сопровождении» с Типом Уведомления = «Приостановление».</w:t>
            </w:r>
            <w:r/>
          </w:p>
          <w:p>
            <w:pPr>
              <w:pStyle w:val="1316"/>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p>
        </w:tc>
      </w:tr>
      <w:tr>
        <w:tblPrEx/>
        <w:trPr/>
        <w:tc>
          <w:tcPr>
            <w:tcW w:w="1184" w:type="pct"/>
            <w:textDirection w:val="lrTb"/>
            <w:noWrap w:val="false"/>
          </w:tcPr>
          <w:p>
            <w:pPr>
              <w:pStyle w:val="1316"/>
            </w:pPr>
            <w:r>
              <w:t xml:space="preserve">Дата открытия/отказа в открытии ЛС</w:t>
            </w:r>
            <w:r/>
          </w:p>
        </w:tc>
        <w:tc>
          <w:tcPr>
            <w:tcW w:w="878" w:type="pct"/>
            <w:textDirection w:val="lrTb"/>
            <w:noWrap w:val="false"/>
          </w:tcPr>
          <w:p>
            <w:pPr>
              <w:pStyle w:val="1316"/>
            </w:pPr>
            <w:r>
              <w:t xml:space="preserve">Нет</w:t>
            </w:r>
            <w:r/>
          </w:p>
        </w:tc>
        <w:tc>
          <w:tcPr>
            <w:tcW w:w="2938" w:type="pct"/>
            <w:textDirection w:val="lrTb"/>
            <w:noWrap w:val="false"/>
          </w:tcPr>
          <w:p>
            <w:pPr>
              <w:pStyle w:val="1316"/>
            </w:pPr>
            <w:r>
              <w:t xml:space="preserve">Указывается дата открытия/отказа в открытии ЛС.</w:t>
            </w:r>
            <w:r/>
          </w:p>
          <w:p>
            <w:pPr>
              <w:pStyle w:val="1316"/>
            </w:pPr>
            <w:r>
              <w:t xml:space="preserve">Заполняется автоматически</w:t>
            </w:r>
            <w:r>
              <w:t xml:space="preserve"> </w:t>
            </w:r>
            <w:r>
              <w:t xml:space="preserve">в случае, когда реквизит «Тип Уведомления» = «Открытие ЛС» или «Предупреждение (БМ)» или «Отказ открытия ЛС».</w:t>
            </w:r>
            <w:r/>
          </w:p>
          <w:p>
            <w:pPr>
              <w:pStyle w:val="1316"/>
            </w:pPr>
            <w:r>
              <w:t xml:space="preserve">Если реквизит «Тип Уведомления» = «Открытие ЛС» или «Предупреждение (БМ)» заполняется автоматически значением реквизита «Дата открытия» родительского документа Заявление на изменение справочника «Книга регистрации лицевых счетов». </w:t>
            </w:r>
            <w:r/>
          </w:p>
          <w:p>
            <w:pPr>
              <w:pStyle w:val="1316"/>
              <w:rPr>
                <w:szCs w:val="22"/>
              </w:rPr>
            </w:pPr>
            <w:r>
              <w:rPr>
                <w:szCs w:val="22"/>
              </w:rPr>
              <w:t xml:space="preserve">Если реквизит</w:t>
            </w:r>
            <w:r>
              <w:t xml:space="preserve"> «Тип Уведомления» = «Отказ открытия ЛС</w:t>
            </w:r>
            <w:r>
              <w:rPr>
                <w:szCs w:val="22"/>
              </w:rPr>
              <w:t xml:space="preserve">»</w:t>
            </w:r>
            <w:r>
              <w:t xml:space="preserve"> </w:t>
            </w:r>
            <w:r>
              <w:rPr>
                <w:szCs w:val="22"/>
              </w:rPr>
              <w:t xml:space="preserve">заполняется автоматически текущей датой.</w:t>
            </w:r>
            <w:r>
              <w:rPr>
                <w:szCs w:val="22"/>
              </w:rPr>
            </w:r>
          </w:p>
          <w:p>
            <w:pPr>
              <w:pStyle w:val="1316"/>
              <w:rPr>
                <w:szCs w:val="22"/>
              </w:rPr>
            </w:pPr>
            <w:r>
              <w:rPr>
                <w:szCs w:val="22"/>
              </w:rPr>
              <w:t xml:space="preserve">Реквизит доступен для ручного редактирования.</w:t>
            </w:r>
            <w:r>
              <w:rPr>
                <w:szCs w:val="22"/>
              </w:rPr>
            </w:r>
          </w:p>
          <w:p>
            <w:pPr>
              <w:pStyle w:val="1316"/>
              <w:rPr>
                <w:szCs w:val="22"/>
              </w:rPr>
            </w:pPr>
            <w:r>
              <w:rPr>
                <w:szCs w:val="22"/>
              </w:rPr>
              <w:t xml:space="preserve">Реквизит </w:t>
            </w:r>
            <w:r>
              <w:t xml:space="preserve">обязателен для заполнения если Тип Уведомления = «</w:t>
            </w:r>
            <w:r>
              <w:rPr>
                <w:szCs w:val="22"/>
              </w:rPr>
              <w:t xml:space="preserve">Открытие ЛС» или «Отказ открытия ЛС» или «</w:t>
            </w:r>
            <w:r>
              <w:t xml:space="preserve">Предупреждение (БМ)</w:t>
            </w:r>
            <w:r>
              <w:rPr>
                <w:szCs w:val="22"/>
              </w:rPr>
              <w:t xml:space="preserve">».</w:t>
            </w:r>
            <w:r>
              <w:rPr>
                <w:szCs w:val="22"/>
              </w:rPr>
            </w:r>
          </w:p>
          <w:p>
            <w:pPr>
              <w:pStyle w:val="1316"/>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p>
        </w:tc>
      </w:tr>
      <w:tr>
        <w:tblPrEx/>
        <w:trPr/>
        <w:tc>
          <w:tcPr>
            <w:tcW w:w="1184" w:type="pct"/>
            <w:textDirection w:val="lrTb"/>
            <w:noWrap w:val="false"/>
          </w:tcPr>
          <w:p>
            <w:pPr>
              <w:pStyle w:val="1316"/>
            </w:pPr>
            <w:r>
              <w:t xml:space="preserve">Причина </w:t>
            </w:r>
            <w:r/>
          </w:p>
        </w:tc>
        <w:tc>
          <w:tcPr>
            <w:tcW w:w="878" w:type="pct"/>
            <w:textDirection w:val="lrTb"/>
            <w:noWrap w:val="false"/>
          </w:tcPr>
          <w:p>
            <w:pPr>
              <w:pStyle w:val="1316"/>
            </w:pPr>
            <w:r>
              <w:t xml:space="preserve">Нет</w:t>
            </w:r>
            <w:r/>
          </w:p>
        </w:tc>
        <w:tc>
          <w:tcPr>
            <w:tcW w:w="2938" w:type="pct"/>
            <w:textDirection w:val="lrTb"/>
            <w:noWrap w:val="false"/>
          </w:tcPr>
          <w:p>
            <w:pPr>
              <w:pStyle w:val="1316"/>
            </w:pPr>
            <w:r>
              <w:t xml:space="preserve">Указывается причина формирования уведомления.</w:t>
            </w:r>
            <w:r/>
          </w:p>
          <w:p>
            <w:pPr>
              <w:pStyle w:val="1316"/>
            </w:pPr>
            <w:r>
              <w:t xml:space="preserve">Заполняется автоматически</w:t>
            </w:r>
            <w:r>
              <w:rPr>
                <w:szCs w:val="22"/>
              </w:rPr>
              <w:t xml:space="preserve"> </w:t>
            </w:r>
            <w:r>
              <w:rPr>
                <w:szCs w:val="22"/>
              </w:rPr>
              <w:t xml:space="preserve">текстом, введенным пользователем при создании Документа в окне «</w:t>
            </w:r>
            <w:r>
              <w:t xml:space="preserve">Причина» и </w:t>
            </w:r>
            <w:r>
              <w:rPr>
                <w:szCs w:val="22"/>
              </w:rPr>
              <w:t xml:space="preserve">дополняется</w:t>
            </w:r>
            <w:r>
              <w:t xml:space="preserve"> автоматически значением реквизита «</w:t>
            </w:r>
            <w:r>
              <w:rPr>
                <w:szCs w:val="22"/>
              </w:rPr>
              <w:t xml:space="preserve">Наименование основания для применяемой меры реагирования</w:t>
            </w:r>
            <w:r>
              <w:t xml:space="preserve">» родительского документа Заявление на изменение справочника «Книга регистрации лицевых счетов», </w:t>
            </w:r>
            <w:r>
              <w:rPr>
                <w:szCs w:val="22"/>
              </w:rPr>
              <w:t xml:space="preserve">в соответствии с типом уведомления и выявленной меры реагирования (перечисление через «;»)</w:t>
            </w:r>
            <w:r>
              <w:t xml:space="preserve"> в результате проверки бюджетного мониторинга.</w:t>
            </w:r>
            <w:r/>
          </w:p>
          <w:p>
            <w:pPr>
              <w:pStyle w:val="1316"/>
              <w:rPr>
                <w:szCs w:val="22"/>
              </w:rPr>
            </w:pPr>
            <w:r>
              <w:rPr>
                <w:szCs w:val="22"/>
              </w:rPr>
              <w:t xml:space="preserve">Если реквизит</w:t>
            </w:r>
            <w:r>
              <w:t xml:space="preserve"> «Тип Уведомления» = «Решение заказчика»</w:t>
            </w:r>
            <w:r>
              <w:rPr>
                <w:szCs w:val="22"/>
              </w:rPr>
              <w:t xml:space="preserve"> </w:t>
            </w:r>
            <w:r>
              <w:t xml:space="preserve">автоматически </w:t>
            </w:r>
            <w:r>
              <w:rPr>
                <w:szCs w:val="22"/>
              </w:rPr>
              <w:t xml:space="preserve">текстом, введенным пользователем при нажатии кнопки </w:t>
            </w:r>
            <w:r>
              <w:t xml:space="preserve">«Отказ открытия» и добавляется значение реквизита «Причина» родительского документа «Уведомление при открытии лицевого счета при казначейском сопровождении» с Типом Уведомления = «Приостановление».</w:t>
            </w:r>
            <w:r>
              <w:rPr>
                <w:szCs w:val="22"/>
              </w:rPr>
            </w:r>
          </w:p>
          <w:p>
            <w:pPr>
              <w:pStyle w:val="1316"/>
              <w:rPr>
                <w:szCs w:val="22"/>
              </w:rPr>
            </w:pPr>
            <w:r>
              <w:rPr>
                <w:szCs w:val="22"/>
              </w:rPr>
              <w:t xml:space="preserve">Если реквизит «Тип Уведомления» = «</w:t>
            </w:r>
            <w:r>
              <w:t xml:space="preserve">Отказ открытия ЛС</w:t>
            </w:r>
            <w:r>
              <w:rPr>
                <w:szCs w:val="22"/>
              </w:rPr>
              <w:t xml:space="preserve">» автоматически текстом, в</w:t>
            </w:r>
            <w:r>
              <w:rPr>
                <w:szCs w:val="22"/>
              </w:rPr>
              <w:t xml:space="preserve">веденным пользователем при нажатии кнопки «Отказать, сформировать протокол» и добавляется значение реквизита «Причина» родительского документа «Уведомление при открытии лицевого счета при казначейском сопровождении» с Типом Уведомления = «Приостановление».</w:t>
            </w:r>
            <w:r>
              <w:rPr>
                <w:szCs w:val="22"/>
              </w:rPr>
            </w:r>
          </w:p>
          <w:p>
            <w:pPr>
              <w:pStyle w:val="1316"/>
              <w:rPr>
                <w:szCs w:val="22"/>
              </w:rPr>
            </w:pPr>
            <w:r>
              <w:rPr>
                <w:szCs w:val="22"/>
              </w:rPr>
              <w:t xml:space="preserve">Если реквизит «Тип Уведомления» = «Открытие ЛС» автоматически </w:t>
            </w:r>
            <w:r>
              <w:t xml:space="preserve">значением реквизита «</w:t>
            </w:r>
            <w:r>
              <w:rPr>
                <w:szCs w:val="22"/>
              </w:rPr>
              <w:t xml:space="preserve">Наименование основания для применяемой меры реагирования</w:t>
            </w:r>
            <w:r>
              <w:t xml:space="preserve">» родительского документа Заявление на изменение справочника «Книга регистрации лицевых счетов».</w:t>
            </w:r>
            <w:r>
              <w:rPr>
                <w:szCs w:val="22"/>
              </w:rPr>
            </w:r>
          </w:p>
          <w:p>
            <w:pPr>
              <w:pStyle w:val="1316"/>
              <w:rPr>
                <w:szCs w:val="22"/>
              </w:rPr>
            </w:pPr>
            <w:r>
              <w:rPr>
                <w:szCs w:val="22"/>
              </w:rPr>
              <w:t xml:space="preserve">Реквизит доступен для ручного редактирования.</w:t>
            </w:r>
            <w:r>
              <w:rPr>
                <w:szCs w:val="22"/>
              </w:rPr>
            </w:r>
          </w:p>
          <w:p>
            <w:pPr>
              <w:pStyle w:val="1316"/>
              <w:rPr>
                <w:szCs w:val="22"/>
              </w:rPr>
            </w:pPr>
            <w:r>
              <w:rPr>
                <w:szCs w:val="22"/>
              </w:rPr>
              <w:t xml:space="preserve">Реквизит обязателен для заполнения если Тип Уведомления = «Отказ открытия ЛС» или «Приостановление» или реквизит «Открытие лицевого счета подтверждено/отказано» = «Нет».</w:t>
            </w:r>
            <w:r>
              <w:rPr>
                <w:szCs w:val="22"/>
              </w:rPr>
            </w:r>
          </w:p>
          <w:p>
            <w:pPr>
              <w:pStyle w:val="1316"/>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p>
        </w:tc>
      </w:tr>
      <w:tr>
        <w:tblPrEx/>
        <w:trPr/>
        <w:tc>
          <w:tcPr>
            <w:tcW w:w="1184" w:type="pct"/>
            <w:textDirection w:val="lrTb"/>
            <w:noWrap w:val="false"/>
          </w:tcPr>
          <w:p>
            <w:pPr>
              <w:pStyle w:val="1316"/>
            </w:pPr>
            <w:r>
              <w:t xml:space="preserve">Дата приостановления открытия лицевого счета</w:t>
            </w:r>
            <w:r/>
          </w:p>
        </w:tc>
        <w:tc>
          <w:tcPr>
            <w:tcW w:w="878" w:type="pct"/>
            <w:textDirection w:val="lrTb"/>
            <w:noWrap w:val="false"/>
          </w:tcPr>
          <w:p>
            <w:pPr>
              <w:pStyle w:val="1316"/>
            </w:pPr>
            <w:r>
              <w:t xml:space="preserve">Нет</w:t>
            </w:r>
            <w:r/>
          </w:p>
        </w:tc>
        <w:tc>
          <w:tcPr>
            <w:tcW w:w="2938" w:type="pct"/>
            <w:textDirection w:val="lrTb"/>
            <w:noWrap w:val="false"/>
          </w:tcPr>
          <w:p>
            <w:pPr>
              <w:pStyle w:val="1316"/>
            </w:pPr>
            <w:r>
              <w:t xml:space="preserve">Указывается дата приостановления открытия лицевого счета.</w:t>
            </w:r>
            <w:r/>
          </w:p>
          <w:p>
            <w:pPr>
              <w:pStyle w:val="1316"/>
              <w:rPr>
                <w:szCs w:val="22"/>
              </w:rPr>
            </w:pPr>
            <w:r>
              <w:t xml:space="preserve">Заполняется автоматически</w:t>
            </w:r>
            <w:r>
              <w:rPr>
                <w:szCs w:val="22"/>
              </w:rPr>
              <w:t xml:space="preserve"> </w:t>
            </w:r>
            <w:r>
              <w:rPr>
                <w:szCs w:val="22"/>
              </w:rPr>
              <w:t xml:space="preserve">в случае, если реквизит</w:t>
            </w:r>
            <w:r>
              <w:t xml:space="preserve"> «Тип </w:t>
            </w:r>
            <w:r>
              <w:t xml:space="preserve">Уведомления» = «</w:t>
            </w:r>
            <w:r>
              <w:rPr>
                <w:szCs w:val="22"/>
              </w:rPr>
              <w:t xml:space="preserve">Приостановление» значением текущей даты создания документа.</w:t>
            </w:r>
            <w:r>
              <w:rPr>
                <w:szCs w:val="22"/>
              </w:rPr>
            </w:r>
          </w:p>
          <w:p>
            <w:pPr>
              <w:pStyle w:val="1316"/>
            </w:pPr>
            <w:r>
              <w:rPr>
                <w:szCs w:val="22"/>
              </w:rPr>
              <w:t xml:space="preserve">Если реквизит</w:t>
            </w:r>
            <w:r>
              <w:t xml:space="preserve"> «Тип Уведомления» = «Решение заказчика»</w:t>
            </w:r>
            <w:r>
              <w:rPr>
                <w:szCs w:val="22"/>
              </w:rPr>
              <w:t xml:space="preserve"> </w:t>
            </w:r>
            <w:r>
              <w:t xml:space="preserve">автоматически значением реквизита «Наименование контрагента» родительского документа «Уведомление при открытии лицевого счета при казначейском сопровождении» с Типом Уведомления = «Приостановление».</w:t>
            </w:r>
            <w:r/>
          </w:p>
          <w:p>
            <w:pPr>
              <w:pStyle w:val="1316"/>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p>
        </w:tc>
      </w:tr>
      <w:tr>
        <w:tblPrEx/>
        <w:trPr/>
        <w:tc>
          <w:tcPr>
            <w:gridSpan w:val="3"/>
            <w:shd w:val="clear" w:color="auto" w:fill="f2f2f2" w:themeFill="background1" w:themeFillShade="F2"/>
            <w:tcW w:w="5000" w:type="pct"/>
            <w:textDirection w:val="lrTb"/>
            <w:noWrap w:val="false"/>
          </w:tcPr>
          <w:p>
            <w:pPr>
              <w:pStyle w:val="1316"/>
            </w:pPr>
            <w:r>
              <w:rPr>
                <w:b/>
              </w:rPr>
              <w:t xml:space="preserve">Реквизиты конфиденциальности</w:t>
            </w:r>
            <w:r/>
          </w:p>
        </w:tc>
      </w:tr>
      <w:tr>
        <w:tblPrEx/>
        <w:trPr/>
        <w:tc>
          <w:tcPr>
            <w:tcW w:w="1184" w:type="pct"/>
            <w:textDirection w:val="lrTb"/>
            <w:noWrap w:val="false"/>
          </w:tcPr>
          <w:p>
            <w:pPr>
              <w:pStyle w:val="1316"/>
            </w:pPr>
            <w:r>
              <w:rPr>
                <w:color w:val="212121"/>
                <w:szCs w:val="22"/>
              </w:rPr>
              <w:t xml:space="preserve">Код уровня конфиденциальности</w:t>
            </w:r>
            <w:r/>
          </w:p>
        </w:tc>
        <w:tc>
          <w:tcPr>
            <w:tcW w:w="878" w:type="pct"/>
            <w:textDirection w:val="lrTb"/>
            <w:noWrap w:val="false"/>
          </w:tcPr>
          <w:p>
            <w:pPr>
              <w:pStyle w:val="1316"/>
              <w:rPr>
                <w:lang w:val="en-US"/>
              </w:rPr>
            </w:pPr>
            <w:r>
              <w:t xml:space="preserve">Да</w:t>
            </w:r>
            <w:r>
              <w:rPr>
                <w:lang w:val="en-US"/>
              </w:rPr>
            </w:r>
          </w:p>
        </w:tc>
        <w:tc>
          <w:tcPr>
            <w:tcW w:w="2938" w:type="pct"/>
            <w:textDirection w:val="lrTb"/>
            <w:noWrap w:val="false"/>
          </w:tcPr>
          <w:p>
            <w:pPr>
              <w:pStyle w:val="1316"/>
              <w:rPr>
                <w:rFonts w:ascii="Segoe UI" w:hAnsi="Segoe UI" w:cs="Segoe UI"/>
                <w:sz w:val="23"/>
                <w:szCs w:val="23"/>
              </w:rPr>
            </w:pPr>
            <w:r>
              <w:t xml:space="preserve">Указывается код уровня конфиденциальности. Принимает значения:</w:t>
            </w:r>
            <w:r>
              <w:rPr>
                <w:rFonts w:ascii="Segoe UI" w:hAnsi="Segoe UI" w:cs="Segoe UI"/>
                <w:sz w:val="23"/>
                <w:szCs w:val="23"/>
              </w:rPr>
            </w:r>
          </w:p>
          <w:p>
            <w:pPr>
              <w:pStyle w:val="1318"/>
              <w:ind w:left="340" w:hanging="227"/>
              <w:tabs>
                <w:tab w:val="num" w:pos="340" w:leader="none"/>
              </w:tabs>
            </w:pPr>
            <w:r>
              <w:t xml:space="preserve">0 – несекретно;</w:t>
            </w:r>
            <w:r/>
          </w:p>
          <w:p>
            <w:pPr>
              <w:pStyle w:val="1318"/>
              <w:ind w:left="340" w:hanging="227"/>
              <w:tabs>
                <w:tab w:val="num" w:pos="340" w:leader="none"/>
              </w:tabs>
            </w:pPr>
            <w:r>
              <w:t xml:space="preserve">1 – для служебного пользования;</w:t>
            </w:r>
            <w:r/>
          </w:p>
          <w:p>
            <w:pPr>
              <w:pStyle w:val="1318"/>
              <w:ind w:left="340" w:hanging="227"/>
              <w:tabs>
                <w:tab w:val="num" w:pos="340" w:leader="none"/>
              </w:tabs>
            </w:pPr>
            <w:r>
              <w:t xml:space="preserve">2 – секретно;</w:t>
            </w:r>
            <w:r/>
          </w:p>
          <w:p>
            <w:pPr>
              <w:pStyle w:val="1318"/>
              <w:ind w:left="340" w:hanging="227"/>
              <w:tabs>
                <w:tab w:val="num" w:pos="340" w:leader="none"/>
              </w:tabs>
            </w:pPr>
            <w:r>
              <w:t xml:space="preserve">3 – совершенно секретно.</w:t>
            </w:r>
            <w:r/>
          </w:p>
          <w:p>
            <w:pPr>
              <w:pStyle w:val="1316"/>
            </w:pPr>
            <w:r>
              <w:t xml:space="preserve">В НСИ ЭБ используются только значения уровня конфиденциальности: 0 – несекретно и 1 – для служебного пользования</w:t>
            </w:r>
            <w:r/>
          </w:p>
        </w:tc>
      </w:tr>
      <w:tr>
        <w:tblPrEx/>
        <w:trPr/>
        <w:tc>
          <w:tcPr>
            <w:tcW w:w="1184" w:type="pct"/>
            <w:textDirection w:val="lrTb"/>
            <w:noWrap w:val="false"/>
          </w:tcPr>
          <w:p>
            <w:pPr>
              <w:pStyle w:val="1316"/>
            </w:pPr>
            <w:r>
              <w:rPr>
                <w:color w:val="212121"/>
                <w:szCs w:val="22"/>
              </w:rPr>
              <w:t xml:space="preserve">Пункт перечня</w:t>
            </w:r>
            <w:r/>
          </w:p>
        </w:tc>
        <w:tc>
          <w:tcPr>
            <w:tcW w:w="878" w:type="pct"/>
            <w:textDirection w:val="lrTb"/>
            <w:noWrap w:val="false"/>
          </w:tcPr>
          <w:p>
            <w:pPr>
              <w:pStyle w:val="1316"/>
            </w:pPr>
            <w:r>
              <w:t xml:space="preserve">Нет</w:t>
            </w:r>
            <w:r/>
          </w:p>
        </w:tc>
        <w:tc>
          <w:tcPr>
            <w:tcW w:w="2938" w:type="pct"/>
            <w:textDirection w:val="lrTb"/>
            <w:noWrap w:val="false"/>
          </w:tcPr>
          <w:p>
            <w:pPr>
              <w:pStyle w:val="1316"/>
            </w:pPr>
            <w:r>
              <w:t xml:space="preserve">Указывается пункт перечня, на основании которого документ является конфиденциальным.</w:t>
            </w:r>
            <w:r/>
          </w:p>
          <w:p>
            <w:pPr>
              <w:pStyle w:val="1316"/>
            </w:pPr>
            <w:r>
              <w:t xml:space="preserve">Если код уровня конфиденциальности принимает значения: 0 – несекретно и 1 - для служебного пользования данный реквизит не заполняется.</w:t>
            </w:r>
            <w:r/>
          </w:p>
          <w:p>
            <w:pPr>
              <w:pStyle w:val="1316"/>
            </w:pPr>
            <w:r>
              <w:t xml:space="preserve">В НСИ ЭБ не используются</w:t>
            </w:r>
            <w:r/>
          </w:p>
        </w:tc>
      </w:tr>
      <w:tr>
        <w:tblPrEx/>
        <w:trPr/>
        <w:tc>
          <w:tcPr>
            <w:gridSpan w:val="3"/>
            <w:shd w:val="clear" w:color="auto" w:fill="f2f2f2" w:themeFill="background1" w:themeFillShade="F2"/>
            <w:tcW w:w="5000" w:type="pct"/>
            <w:textDirection w:val="lrTb"/>
            <w:noWrap w:val="false"/>
          </w:tcPr>
          <w:p>
            <w:pPr>
              <w:pStyle w:val="1316"/>
            </w:pPr>
            <w:r>
              <w:rPr>
                <w:b/>
              </w:rPr>
              <w:t xml:space="preserve">Подписи</w:t>
            </w:r>
            <w:r/>
          </w:p>
        </w:tc>
      </w:tr>
      <w:tr>
        <w:tblPrEx/>
        <w:trPr/>
        <w:tc>
          <w:tcPr>
            <w:tcW w:w="1184" w:type="pct"/>
            <w:textDirection w:val="lrTb"/>
            <w:noWrap w:val="false"/>
          </w:tcPr>
          <w:p>
            <w:pPr>
              <w:pStyle w:val="1316"/>
            </w:pPr>
            <w:r>
              <w:t xml:space="preserve">Должность руководителя (уполномоченного лица)</w:t>
            </w:r>
            <w:r/>
          </w:p>
        </w:tc>
        <w:tc>
          <w:tcPr>
            <w:tcW w:w="878" w:type="pct"/>
            <w:textDirection w:val="lrTb"/>
            <w:noWrap w:val="false"/>
          </w:tcPr>
          <w:p>
            <w:pPr>
              <w:pStyle w:val="1316"/>
            </w:pPr>
            <w:r>
              <w:t xml:space="preserve">Нет</w:t>
            </w:r>
            <w:r/>
          </w:p>
        </w:tc>
        <w:tc>
          <w:tcPr>
            <w:tcW w:w="2938" w:type="pct"/>
            <w:textDirection w:val="lrTb"/>
            <w:noWrap w:val="false"/>
          </w:tcPr>
          <w:p>
            <w:pPr>
              <w:pStyle w:val="1316"/>
            </w:pPr>
            <w:r>
              <w:t xml:space="preserve">Указывается Должность руководителя (уполномоченного лица). </w:t>
            </w:r>
            <w:r/>
          </w:p>
          <w:p>
            <w:pPr>
              <w:pStyle w:val="1316"/>
              <w:rPr>
                <w:szCs w:val="22"/>
              </w:rPr>
            </w:pPr>
            <w:r>
              <w:rPr>
                <w:szCs w:val="22"/>
              </w:rPr>
              <w:t xml:space="preserve">Реквизит доступен для ручного редактирования на статусе документа «Создан».</w:t>
            </w:r>
            <w:r>
              <w:rPr>
                <w:szCs w:val="22"/>
              </w:rPr>
            </w:r>
          </w:p>
          <w:p>
            <w:pPr>
              <w:pStyle w:val="1316"/>
            </w:pPr>
            <w:r>
              <w:rPr>
                <w:szCs w:val="22"/>
              </w:rPr>
              <w:t xml:space="preserve">Если реквизит</w:t>
            </w:r>
            <w:r>
              <w:t xml:space="preserve"> «Тип Уведомления» = «Решение заказчика», то при утверждении документа, если реквизит «ФИО руководителя (уполномоченного лица)» не заполнен, заполняется автоматически</w:t>
            </w:r>
            <w:r>
              <w:rPr>
                <w:szCs w:val="22"/>
              </w:rPr>
              <w:t xml:space="preserve"> </w:t>
            </w:r>
            <w:r>
              <w:rPr>
                <w:szCs w:val="22"/>
              </w:rPr>
              <w:t xml:space="preserve">значением реквизита «</w:t>
            </w:r>
            <w:r>
              <w:t xml:space="preserve">Должность» пользователя, утвердившего запись</w:t>
            </w:r>
            <w:r/>
          </w:p>
          <w:p>
            <w:pPr>
              <w:pStyle w:val="1316"/>
              <w:rPr>
                <w:szCs w:val="22"/>
              </w:rPr>
            </w:pPr>
            <w:r>
              <w:rPr>
                <w:szCs w:val="22"/>
              </w:rPr>
              <w:t xml:space="preserve">или если реквизит «</w:t>
            </w:r>
            <w:r>
              <w:t xml:space="preserve">Должность» пользователя, утвердившего запись</w:t>
            </w:r>
            <w:r>
              <w:rPr>
                <w:szCs w:val="22"/>
              </w:rPr>
              <w:t xml:space="preserve"> </w:t>
            </w:r>
            <w:r>
              <w:rPr>
                <w:szCs w:val="22"/>
              </w:rPr>
              <w:t xml:space="preserve">не заполнен, то заполняется значением по умолчанию «Руководитель».</w:t>
            </w:r>
            <w:r>
              <w:rPr>
                <w:szCs w:val="22"/>
              </w:rPr>
            </w:r>
          </w:p>
          <w:p>
            <w:pPr>
              <w:pStyle w:val="1316"/>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p>
        </w:tc>
      </w:tr>
      <w:tr>
        <w:tblPrEx/>
        <w:trPr/>
        <w:tc>
          <w:tcPr>
            <w:tcW w:w="1184" w:type="pct"/>
            <w:textDirection w:val="lrTb"/>
            <w:noWrap w:val="false"/>
          </w:tcPr>
          <w:p>
            <w:pPr>
              <w:pStyle w:val="1316"/>
            </w:pPr>
            <w:r>
              <w:t xml:space="preserve">ФИО руководителя (уполномоченного лица)</w:t>
            </w:r>
            <w:r/>
          </w:p>
        </w:tc>
        <w:tc>
          <w:tcPr>
            <w:tcW w:w="878" w:type="pct"/>
            <w:textDirection w:val="lrTb"/>
            <w:noWrap w:val="false"/>
          </w:tcPr>
          <w:p>
            <w:pPr>
              <w:pStyle w:val="1316"/>
            </w:pPr>
            <w:r>
              <w:t xml:space="preserve">Да</w:t>
            </w:r>
            <w:r/>
          </w:p>
        </w:tc>
        <w:tc>
          <w:tcPr>
            <w:tcW w:w="2938" w:type="pct"/>
            <w:textDirection w:val="lrTb"/>
            <w:noWrap w:val="false"/>
          </w:tcPr>
          <w:p>
            <w:pPr>
              <w:pStyle w:val="1316"/>
            </w:pPr>
            <w:r>
              <w:t xml:space="preserve">Указывается ФИО руководителя (уполномоченного лица). </w:t>
            </w:r>
            <w:r/>
          </w:p>
          <w:p>
            <w:pPr>
              <w:pStyle w:val="1316"/>
              <w:rPr>
                <w:szCs w:val="22"/>
              </w:rPr>
            </w:pPr>
            <w:r>
              <w:rPr>
                <w:szCs w:val="22"/>
              </w:rPr>
              <w:t xml:space="preserve">Реквизит доступен для ручного редактирования на статусе документа «Создан».</w:t>
            </w:r>
            <w:r>
              <w:rPr>
                <w:szCs w:val="22"/>
              </w:rPr>
            </w:r>
          </w:p>
          <w:p>
            <w:pPr>
              <w:pStyle w:val="1316"/>
            </w:pPr>
            <w:r>
              <w:rPr>
                <w:szCs w:val="22"/>
              </w:rPr>
              <w:t xml:space="preserve">Если реквизит</w:t>
            </w:r>
            <w:r>
              <w:t xml:space="preserve"> «Тип Уведомления» = «Решение заказчика», то при утверждении документа, если реквизит «ФИО </w:t>
            </w:r>
            <w:r>
              <w:t xml:space="preserve">руководителя (уполномоченного лица)» не заполнен, заполняется автоматически</w:t>
            </w:r>
            <w:r>
              <w:rPr>
                <w:szCs w:val="22"/>
              </w:rPr>
              <w:t xml:space="preserve"> </w:t>
            </w:r>
            <w:r>
              <w:t xml:space="preserve">Фамилией и инициалами пользователя, утвердившего запись.</w:t>
            </w:r>
            <w:r/>
          </w:p>
          <w:p>
            <w:pPr>
              <w:pStyle w:val="1316"/>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p>
        </w:tc>
      </w:tr>
      <w:tr>
        <w:tblPrEx/>
        <w:trPr/>
        <w:tc>
          <w:tcPr>
            <w:tcW w:w="1184" w:type="pct"/>
            <w:textDirection w:val="lrTb"/>
            <w:noWrap w:val="false"/>
          </w:tcPr>
          <w:p>
            <w:pPr>
              <w:pStyle w:val="1316"/>
              <w:rPr>
                <w:szCs w:val="22"/>
              </w:rPr>
            </w:pPr>
            <w:r>
              <w:t xml:space="preserve">Должность ответственного исполнителя</w:t>
            </w:r>
            <w:r>
              <w:rPr>
                <w:szCs w:val="22"/>
              </w:rPr>
            </w:r>
          </w:p>
        </w:tc>
        <w:tc>
          <w:tcPr>
            <w:tcW w:w="878" w:type="pct"/>
            <w:textDirection w:val="lrTb"/>
            <w:noWrap w:val="false"/>
          </w:tcPr>
          <w:p>
            <w:pPr>
              <w:pStyle w:val="1316"/>
            </w:pPr>
            <w:r>
              <w:t xml:space="preserve">Да</w:t>
            </w:r>
            <w:r/>
          </w:p>
        </w:tc>
        <w:tc>
          <w:tcPr>
            <w:tcW w:w="2938" w:type="pct"/>
            <w:textDirection w:val="lrTb"/>
            <w:noWrap w:val="false"/>
          </w:tcPr>
          <w:p>
            <w:pPr>
              <w:pStyle w:val="1316"/>
            </w:pPr>
            <w:r>
              <w:t xml:space="preserve">Указывается должность ответственного исполнителя. </w:t>
            </w:r>
            <w:r/>
          </w:p>
          <w:p>
            <w:pPr>
              <w:pStyle w:val="1316"/>
              <w:rPr>
                <w:szCs w:val="22"/>
              </w:rPr>
            </w:pPr>
            <w:r>
              <w:rPr>
                <w:szCs w:val="22"/>
              </w:rPr>
              <w:t xml:space="preserve">Реквизит доступен для ручного редактирования на статусе документа «Создан».</w:t>
            </w:r>
            <w:r>
              <w:rPr>
                <w:szCs w:val="22"/>
              </w:rPr>
            </w:r>
          </w:p>
          <w:p>
            <w:pPr>
              <w:pStyle w:val="1316"/>
              <w:rPr>
                <w:szCs w:val="22"/>
              </w:rPr>
            </w:pPr>
            <w:r>
              <w:t xml:space="preserve">Заполняется автоматически</w:t>
            </w:r>
            <w:r>
              <w:rPr>
                <w:szCs w:val="22"/>
              </w:rPr>
              <w:t xml:space="preserve"> </w:t>
            </w:r>
            <w:r>
              <w:rPr>
                <w:szCs w:val="22"/>
              </w:rPr>
              <w:t xml:space="preserve">значением реквизита «</w:t>
            </w:r>
            <w:r>
              <w:t xml:space="preserve">Должность» пользователя, создавшего запись </w:t>
            </w:r>
            <w:r>
              <w:rPr>
                <w:szCs w:val="22"/>
              </w:rPr>
              <w:t xml:space="preserve">или если реквизит «</w:t>
            </w:r>
            <w:r>
              <w:t xml:space="preserve">Должность» пользователя, создавшего запись</w:t>
            </w:r>
            <w:r>
              <w:rPr>
                <w:szCs w:val="22"/>
              </w:rPr>
              <w:t xml:space="preserve"> не заполнен, то заполняется значением по умолчанию «Специалист».</w:t>
            </w:r>
            <w:r>
              <w:rPr>
                <w:szCs w:val="22"/>
              </w:rPr>
            </w:r>
          </w:p>
          <w:p>
            <w:pPr>
              <w:pStyle w:val="1316"/>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p>
        </w:tc>
      </w:tr>
      <w:tr>
        <w:tblPrEx/>
        <w:trPr/>
        <w:tc>
          <w:tcPr>
            <w:tcW w:w="1184" w:type="pct"/>
            <w:textDirection w:val="lrTb"/>
            <w:noWrap w:val="false"/>
          </w:tcPr>
          <w:p>
            <w:pPr>
              <w:pStyle w:val="1316"/>
              <w:rPr>
                <w:szCs w:val="22"/>
              </w:rPr>
            </w:pPr>
            <w:r>
              <w:t xml:space="preserve">ФИО ответственного исполнителя</w:t>
            </w:r>
            <w:r>
              <w:rPr>
                <w:szCs w:val="22"/>
              </w:rPr>
            </w:r>
          </w:p>
        </w:tc>
        <w:tc>
          <w:tcPr>
            <w:tcW w:w="878" w:type="pct"/>
            <w:textDirection w:val="lrTb"/>
            <w:noWrap w:val="false"/>
          </w:tcPr>
          <w:p>
            <w:pPr>
              <w:pStyle w:val="1316"/>
            </w:pPr>
            <w:r>
              <w:t xml:space="preserve">Да</w:t>
            </w:r>
            <w:r/>
          </w:p>
        </w:tc>
        <w:tc>
          <w:tcPr>
            <w:tcW w:w="2938" w:type="pct"/>
            <w:textDirection w:val="lrTb"/>
            <w:noWrap w:val="false"/>
          </w:tcPr>
          <w:p>
            <w:pPr>
              <w:pStyle w:val="1316"/>
            </w:pPr>
            <w:r>
              <w:t xml:space="preserve">Указывается ФИО ответственного исполнителя.</w:t>
            </w:r>
            <w:r/>
          </w:p>
          <w:p>
            <w:pPr>
              <w:pStyle w:val="1316"/>
              <w:rPr>
                <w:szCs w:val="22"/>
              </w:rPr>
            </w:pPr>
            <w:r>
              <w:rPr>
                <w:szCs w:val="22"/>
              </w:rPr>
              <w:t xml:space="preserve">Реквизит доступен для ручного редактирования на статусе документа «Создан».</w:t>
            </w:r>
            <w:r>
              <w:rPr>
                <w:szCs w:val="22"/>
              </w:rPr>
            </w:r>
          </w:p>
          <w:p>
            <w:pPr>
              <w:pStyle w:val="1316"/>
            </w:pPr>
            <w:r>
              <w:t xml:space="preserve">Заполняется автоматически</w:t>
            </w:r>
            <w:r>
              <w:rPr>
                <w:szCs w:val="22"/>
              </w:rPr>
              <w:t xml:space="preserve"> </w:t>
            </w:r>
            <w:r>
              <w:rPr>
                <w:szCs w:val="22"/>
              </w:rPr>
              <w:t xml:space="preserve">Фамилией и инициалами</w:t>
            </w:r>
            <w:r>
              <w:t xml:space="preserve"> пользователя, создавшего запись.</w:t>
            </w:r>
            <w:r/>
          </w:p>
          <w:p>
            <w:pPr>
              <w:pStyle w:val="1316"/>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p>
        </w:tc>
      </w:tr>
      <w:tr>
        <w:tblPrEx/>
        <w:trPr/>
        <w:tc>
          <w:tcPr>
            <w:tcW w:w="1184" w:type="pct"/>
            <w:textDirection w:val="lrTb"/>
            <w:noWrap w:val="false"/>
          </w:tcPr>
          <w:p>
            <w:pPr>
              <w:pStyle w:val="1316"/>
              <w:rPr>
                <w:szCs w:val="22"/>
              </w:rPr>
            </w:pPr>
            <w:r>
              <w:rPr>
                <w:szCs w:val="22"/>
              </w:rPr>
              <w:t xml:space="preserve">Телефон ответственного исполнителя</w:t>
            </w:r>
            <w:r>
              <w:rPr>
                <w:szCs w:val="22"/>
              </w:rPr>
            </w:r>
          </w:p>
        </w:tc>
        <w:tc>
          <w:tcPr>
            <w:tcW w:w="878" w:type="pct"/>
            <w:textDirection w:val="lrTb"/>
            <w:noWrap w:val="false"/>
          </w:tcPr>
          <w:p>
            <w:pPr>
              <w:pStyle w:val="1316"/>
            </w:pPr>
            <w:r>
              <w:t xml:space="preserve">Да</w:t>
            </w:r>
            <w:r/>
          </w:p>
        </w:tc>
        <w:tc>
          <w:tcPr>
            <w:tcW w:w="2938" w:type="pct"/>
            <w:textDirection w:val="lrTb"/>
            <w:noWrap w:val="false"/>
          </w:tcPr>
          <w:p>
            <w:pPr>
              <w:pStyle w:val="1316"/>
            </w:pPr>
            <w:r>
              <w:t xml:space="preserve">Указывается телефон ответственного исполнителя.</w:t>
            </w:r>
            <w:r/>
          </w:p>
          <w:p>
            <w:pPr>
              <w:pStyle w:val="1316"/>
              <w:rPr>
                <w:szCs w:val="22"/>
              </w:rPr>
            </w:pPr>
            <w:r>
              <w:rPr>
                <w:szCs w:val="22"/>
              </w:rPr>
              <w:t xml:space="preserve">Реквизит доступен для ручного редактирования на статусе документа «Создан».</w:t>
            </w:r>
            <w:r>
              <w:rPr>
                <w:szCs w:val="22"/>
              </w:rPr>
            </w:r>
          </w:p>
          <w:p>
            <w:pPr>
              <w:pStyle w:val="1316"/>
            </w:pPr>
            <w:r>
              <w:t xml:space="preserve">Заполняется автоматически</w:t>
            </w:r>
            <w:r>
              <w:t xml:space="preserve"> </w:t>
            </w:r>
            <w:r>
              <w:t xml:space="preserve">значением реквизита «Телефон» пользователя, создавшего запись.</w:t>
            </w:r>
            <w:r/>
          </w:p>
          <w:p>
            <w:pPr>
              <w:pStyle w:val="1316"/>
            </w:pPr>
            <w:r>
              <w:rPr>
                <w:szCs w:val="22"/>
              </w:rPr>
              <w:t xml:space="preserve">Реквизит обязателен для заполнения если Тип Уведомления = «Отказ открытия ЛС» или «Приостановление» или «Открытие ЛС» или </w:t>
            </w:r>
            <w:r>
              <w:t xml:space="preserve">«Решение заказчика».</w:t>
            </w:r>
            <w:r/>
          </w:p>
          <w:p>
            <w:pPr>
              <w:pStyle w:val="1316"/>
            </w:pPr>
            <w:r>
              <w:t xml:space="preserve">Если реквизит «</w:t>
            </w:r>
            <w:r>
              <w:rPr>
                <w:szCs w:val="22"/>
              </w:rPr>
              <w:t xml:space="preserve">Система-инициатор</w:t>
            </w:r>
            <w:r>
              <w:t xml:space="preserve">» =</w:t>
            </w:r>
            <w:r>
              <w:rPr>
                <w:szCs w:val="22"/>
              </w:rPr>
              <w:t xml:space="preserve"> «СМЭВ», то </w:t>
            </w:r>
            <w:r>
              <w:t xml:space="preserve">заполняется автоматически из соответствующего реквизита из СМЭВ</w:t>
            </w:r>
            <w:r/>
          </w:p>
        </w:tc>
      </w:tr>
    </w:tbl>
    <w:p>
      <w:pPr>
        <w:pStyle w:val="1285"/>
      </w:pPr>
      <w:r>
        <w:t xml:space="preserve">Нюансы формирования формуляра при взаимодействии с ФО</w:t>
      </w:r>
      <w:r/>
    </w:p>
    <w:p>
      <w:pPr>
        <w:pStyle w:val="1305"/>
      </w:pPr>
      <w:r>
        <w:t xml:space="preserve">Уведомление ЛС типа </w:t>
      </w:r>
      <w:r>
        <w:rPr>
          <w:szCs w:val="24"/>
        </w:rPr>
        <w:t xml:space="preserve">«Открытие ЛС» </w:t>
      </w:r>
      <w:r>
        <w:t xml:space="preserve">формируется автоматически на основании</w:t>
      </w:r>
      <w:r>
        <w:rPr>
          <w:szCs w:val="24"/>
        </w:rPr>
        <w:t xml:space="preserve"> запроса полученного от СМЭВ по </w:t>
      </w:r>
      <w:r>
        <w:t xml:space="preserve">ВС «Уведомление об открытии лицевого счета участнику казначейского сопровождения после приостановления» (взаимодействие с фин.органами), без участия пользователя и</w:t>
      </w:r>
      <w:r>
        <w:rPr>
          <w:szCs w:val="24"/>
        </w:rPr>
        <w:t xml:space="preserve"> </w:t>
      </w:r>
      <w:r>
        <w:t xml:space="preserve">НЕ доступно для редактирования. </w:t>
      </w:r>
      <w:r/>
    </w:p>
    <w:p>
      <w:pPr>
        <w:pStyle w:val="1307"/>
      </w:pPr>
      <w:r>
        <w:rPr>
          <w:rStyle w:val="1312"/>
        </w:rPr>
        <w:t xml:space="preserve">Примечание.</w:t>
      </w:r>
      <w:r>
        <w:tab/>
        <w:t xml:space="preserve">Для Уведомления ЛС, сформированного на ВС «Уведомление об открытии лицевого счета участнику казначейского сопровождения после приостановления» (взаимодействие с фин.органами), реквизит «Система-инициатор» принимает значение «СМЭВ».</w:t>
      </w:r>
      <w:r/>
    </w:p>
    <w:p>
      <w:pPr>
        <w:pStyle w:val="1305"/>
      </w:pPr>
      <w:r>
        <w:t xml:space="preserve">При создании видимость формуляра </w:t>
      </w:r>
      <w:r>
        <w:rPr>
          <w:szCs w:val="24"/>
        </w:rPr>
        <w:t xml:space="preserve">Уведомление ЛС с типом «Открытие ЛС» </w:t>
      </w:r>
      <w:r>
        <w:t xml:space="preserve">передается в </w:t>
      </w:r>
      <w:r>
        <w:rPr>
          <w:szCs w:val="24"/>
        </w:rPr>
        <w:t xml:space="preserve">ЛК РФМ.</w:t>
      </w:r>
      <w:r/>
    </w:p>
    <w:p>
      <w:pPr>
        <w:pStyle w:val="1284"/>
      </w:pPr>
      <w:r/>
      <w:bookmarkStart w:id="504" w:name="_Toc216435722"/>
      <w:r/>
      <w:bookmarkStart w:id="505" w:name="_Ref216854090"/>
      <w:r/>
      <w:bookmarkStart w:id="506" w:name="_Toc221869920"/>
      <w:r>
        <w:t xml:space="preserve">Документ «Сообщение о прекращении операций по лицевому счету»</w:t>
      </w:r>
      <w:bookmarkEnd w:id="504"/>
      <w:r/>
      <w:bookmarkEnd w:id="505"/>
      <w:r/>
      <w:bookmarkEnd w:id="506"/>
      <w:r/>
      <w:r/>
    </w:p>
    <w:p>
      <w:pPr>
        <w:pStyle w:val="1305"/>
      </w:pPr>
      <w:r>
        <w:t xml:space="preserve">Документ «Сообщение о прекращении операций по лицевому счету» (далее – Сообщение) предназначен для закрытия лицевых счетов, типа л/с отличного от «71».</w:t>
      </w:r>
      <w:r/>
    </w:p>
    <w:p>
      <w:pPr>
        <w:pStyle w:val="1305"/>
        <w:rPr>
          <w:rStyle w:val="1314"/>
          <w:i w:val="0"/>
        </w:rPr>
      </w:pPr>
      <w:r>
        <w:t xml:space="preserve">Сообщение формируется автоматически по результатам поступления документа «Сообщение о прекращении операций по лицевому счету» из внешних систем (АСФК, ПУР ЭБ, ПУР КС, ЕБП), без участия пользователя и НЕ доступно для редактирования. </w:t>
      </w:r>
      <w:r>
        <w:rPr>
          <w:rStyle w:val="1314"/>
          <w:i w:val="0"/>
        </w:rPr>
        <w:t xml:space="preserve">Для Сообщения не предусмотрена СФ, ВФ формуляра.</w:t>
      </w:r>
      <w:r>
        <w:rPr>
          <w:rStyle w:val="1314"/>
          <w:i w:val="0"/>
        </w:rPr>
      </w:r>
    </w:p>
    <w:p>
      <w:pPr>
        <w:pStyle w:val="1305"/>
      </w:pPr>
      <w:r/>
      <w:bookmarkStart w:id="507" w:name="_Toc21021158"/>
      <w:r/>
      <w:bookmarkStart w:id="508" w:name="_Toc22724133"/>
      <w:r>
        <w:t xml:space="preserve">При поступлении документа «Сообщение о прекращении операций по лицевому счету» из внешних систем, во входящем сообщении могут содержаться сведения о нескольких записей, каждую обрабатывается отдельно. </w:t>
      </w:r>
      <w:r/>
    </w:p>
    <w:p>
      <w:pPr>
        <w:pStyle w:val="1305"/>
      </w:pPr>
      <w:r>
        <w:t xml:space="preserve">Для каждой записи полученного сообщения осуществляется поиск по указанному номеру лицевого счета записи в справочнике Книга регистрации лицевых счетов в статусе «Условно исключена».</w:t>
      </w:r>
      <w:r/>
    </w:p>
    <w:p>
      <w:pPr>
        <w:pStyle w:val="1305"/>
      </w:pPr>
      <w:r>
        <w:t xml:space="preserve">По результатам успешной обработки, существующая запись автоматически переводится из статуса «Условно исключена» и бизнес статуса = «2 – Условно исключена» в статус «Архивная» и бизнес статус = «2 – Условно исключена» (для существующей зап</w:t>
      </w:r>
      <w:r>
        <w:t xml:space="preserve">иси заполняется реквизит «Дата окончания действия записи» текущей датой), автоматически добавляется новая запись в статусе «Закрыт» и бизнес статусе = «4 – Закрыт», реквизит «Дата закрытия лицевого счета» заполняется на основании реквизита «Дата закрытия» </w:t>
      </w:r>
      <w:bookmarkEnd w:id="507"/>
      <w:r/>
      <w:bookmarkEnd w:id="508"/>
      <w:r>
        <w:t xml:space="preserve">Сообщения.</w:t>
      </w:r>
      <w:r/>
    </w:p>
    <w:p>
      <w:pPr>
        <w:pStyle w:val="1282"/>
      </w:pPr>
      <w:r/>
      <w:bookmarkStart w:id="509" w:name="_Toc114731600"/>
      <w:r/>
      <w:bookmarkStart w:id="510" w:name="_Toc216435783"/>
      <w:r/>
      <w:bookmarkStart w:id="511" w:name="_Ref221869811"/>
      <w:r/>
      <w:bookmarkStart w:id="512" w:name="_Toc221869921"/>
      <w:r/>
      <w:bookmarkStart w:id="513" w:name="_Hlk216184298"/>
      <w:r>
        <w:t xml:space="preserve">Просмотр </w:t>
      </w:r>
      <w:r>
        <w:t xml:space="preserve">записей </w:t>
      </w:r>
      <w:r>
        <w:t xml:space="preserve">справочника «Типы документов-оснований»</w:t>
      </w:r>
      <w:bookmarkEnd w:id="509"/>
      <w:r/>
      <w:bookmarkEnd w:id="510"/>
      <w:r/>
      <w:bookmarkEnd w:id="511"/>
      <w:r/>
      <w:bookmarkEnd w:id="512"/>
      <w:r/>
      <w:r/>
    </w:p>
    <w:p>
      <w:pPr>
        <w:pStyle w:val="1305"/>
      </w:pPr>
      <w:r>
        <w:t xml:space="preserve">Справочник «Типы документов-оснований» </w:t>
      </w:r>
      <w:r>
        <w:rPr>
          <w:rStyle w:val="1314"/>
          <w:i w:val="0"/>
        </w:rPr>
        <w:t xml:space="preserve">содержит сведения о документах-основаниях для открытия лицевых счетов</w:t>
      </w:r>
      <w:r>
        <w:t xml:space="preserve">.</w:t>
      </w:r>
      <w:r/>
    </w:p>
    <w:p>
      <w:pPr>
        <w:pStyle w:val="1305"/>
      </w:pPr>
      <w:r>
        <w:rPr>
          <w:szCs w:val="24"/>
        </w:rPr>
        <w:t xml:space="preserve">Ведение, хранение и распространение информации справочника</w:t>
      </w:r>
      <w:r>
        <w:t xml:space="preserve"> «Типы документов-оснований» (создание новой записи, актуализация существующей, перевод в архив) осуществляется в МУНСИ.</w:t>
      </w:r>
      <w:r/>
    </w:p>
    <w:p>
      <w:pPr>
        <w:pStyle w:val="1305"/>
      </w:pPr>
      <w:r>
        <w:t xml:space="preserve">Уникальность записи в справочнике «Типы документов-оснований» проверяется по составному ключу: реквизит «Код документа-основания» + реквизит «Статус записи» = «Актуальная».</w:t>
      </w:r>
      <w:r/>
    </w:p>
    <w:p>
      <w:pPr>
        <w:pStyle w:val="1306"/>
      </w:pPr>
      <w:r>
        <w:t xml:space="preserve">Запись справочника «Типы документов-оснований» актуализируется при выполнении следующих операций:</w:t>
      </w:r>
      <w:r/>
    </w:p>
    <w:p>
      <w:pPr>
        <w:pStyle w:val="1296"/>
      </w:pPr>
      <w:r>
        <w:t xml:space="preserve">при создании новой записи – в справочнике «Типы документов-оснований» формируется новая запись в статусе «Актуальная»;</w:t>
      </w:r>
      <w:r/>
    </w:p>
    <w:p>
      <w:pPr>
        <w:pStyle w:val="1296"/>
      </w:pPr>
      <w:r>
        <w:t xml:space="preserve">при внесении изменений в </w:t>
      </w:r>
      <w:r>
        <w:t xml:space="preserve">запись – существующая запись автоматически переводится из статуса «Актуальная» в статус «Архивная» (для существующей записи заполняется реквизит «Дата окончания действия записи» текущей датой), автоматически добавляется новая запись в статусе «Актуальная»;</w:t>
      </w:r>
      <w:r/>
    </w:p>
    <w:p>
      <w:pPr>
        <w:pStyle w:val="1296"/>
      </w:pPr>
      <w:r>
        <w:t xml:space="preserve">при переводе записи в архив – существующая запись автоматически переводится из статуса «Актуальная» в статус «Архивная» (для существующей записи заполняется реквизит «Дата окончания действия записи» текущей датой).</w:t>
      </w:r>
      <w:r/>
    </w:p>
    <w:p>
      <w:pPr>
        <w:pStyle w:val="1305"/>
      </w:pPr>
      <w:r>
        <w:t xml:space="preserve">Справочник «Типы документов-оснований» будет использоваться при заполнении реквизитов справочников: «Книга регистрации лицевых счетов» и сопутствующих документов.</w:t>
      </w:r>
      <w:r/>
    </w:p>
    <w:p>
      <w:pPr>
        <w:pStyle w:val="1305"/>
      </w:pPr>
      <w:r>
        <w:t xml:space="preserve">Для просмотра списковой формы справочника в меню пользователя </w:t>
      </w:r>
      <w:r>
        <w:t xml:space="preserve">(Модуль ведения НСИ ЭБ) </w:t>
      </w:r>
      <w:r>
        <w:t xml:space="preserve">необходимо выбрать: «Подсистема нормативно-справочной информации» – «Справочники, реестры, классификаторы» – «Книга регистрации лицевых счетов» – «Вспомогательные справочники» – «Типы документов-оснований». </w:t>
      </w:r>
      <w:r/>
    </w:p>
    <w:p>
      <w:pPr>
        <w:pStyle w:val="1283"/>
      </w:pPr>
      <w:r/>
      <w:bookmarkStart w:id="514" w:name="_Toc216435784"/>
      <w:r/>
      <w:bookmarkStart w:id="515" w:name="_Toc221869922"/>
      <w:r>
        <w:t xml:space="preserve">Списковая форма справочника «Типы документов-оснований»</w:t>
      </w:r>
      <w:bookmarkEnd w:id="514"/>
      <w:r/>
      <w:bookmarkEnd w:id="515"/>
      <w:r/>
      <w:r/>
    </w:p>
    <w:p>
      <w:pPr>
        <w:pStyle w:val="1305"/>
      </w:pPr>
      <w:r>
        <w:t xml:space="preserve">Реестр записей справочника «Типы документов-оснований» представлен в табличной форме с заголовками, списковая форма приведена на рис. </w:t>
      </w:r>
      <w:r>
        <w:fldChar w:fldCharType="begin"/>
      </w:r>
      <w:r>
        <w:instrText xml:space="preserve"> REF _Ref108609089 \h  \* MERGEFORMAT </w:instrText>
      </w:r>
      <w:r>
        <w:fldChar w:fldCharType="separate"/>
      </w:r>
      <w:r>
        <w:t xml:space="preserve">32</w:t>
      </w:r>
      <w:r>
        <w:fldChar w:fldCharType="end"/>
      </w:r>
      <w:r>
        <w:t xml:space="preserve">.</w:t>
      </w:r>
      <w:r/>
    </w:p>
    <w:p>
      <w:pPr>
        <w:pStyle w:val="1293"/>
      </w:pPr>
      <w:r>
        <mc:AlternateContent>
          <mc:Choice Requires="wpg">
            <w:drawing>
              <wp:inline xmlns:wp="http://schemas.openxmlformats.org/drawingml/2006/wordprocessingDrawing" distT="0" distB="0" distL="0" distR="0">
                <wp:extent cx="6120130" cy="2937510"/>
                <wp:effectExtent l="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64887" name=""/>
                        <pic:cNvPicPr>
                          <a:picLocks noChangeAspect="1"/>
                        </pic:cNvPicPr>
                        <pic:nvPr/>
                      </pic:nvPicPr>
                      <pic:blipFill>
                        <a:blip r:embed="rId57"/>
                        <a:stretch/>
                      </pic:blipFill>
                      <pic:spPr bwMode="auto">
                        <a:xfrm>
                          <a:off x="0" y="0"/>
                          <a:ext cx="6120130" cy="293751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width:481.90pt;height:231.30pt;mso-wrap-distance-left:0.00pt;mso-wrap-distance-top:0.00pt;mso-wrap-distance-right:0.00pt;mso-wrap-distance-bottom:0.00pt;" stroked="false">
                <v:path textboxrect="0,0,0,0"/>
                <v:imagedata r:id="rId57" o:title=""/>
              </v:shape>
            </w:pict>
          </mc:Fallback>
        </mc:AlternateContent>
      </w:r>
      <w:r/>
    </w:p>
    <w:p>
      <w:pPr>
        <w:pStyle w:val="1294"/>
      </w:pPr>
      <w:r>
        <w:fldChar w:fldCharType="begin"/>
      </w:r>
      <w:r>
        <w:instrText xml:space="preserve"> SEQ Рисунок \* ARABIC </w:instrText>
      </w:r>
      <w:r>
        <w:fldChar w:fldCharType="separate"/>
      </w:r>
      <w:bookmarkStart w:id="516" w:name="_Ref108609089"/>
      <w:r/>
      <w:bookmarkStart w:id="517" w:name="_Toc114731709"/>
      <w:r/>
      <w:bookmarkStart w:id="518" w:name="_Toc216435641"/>
      <w:r/>
      <w:bookmarkStart w:id="519" w:name="_Toc221869984"/>
      <w:r>
        <w:t xml:space="preserve">32</w:t>
      </w:r>
      <w:bookmarkEnd w:id="516"/>
      <w:r>
        <w:fldChar w:fldCharType="end"/>
      </w:r>
      <w:r>
        <w:t xml:space="preserve">. Списковая форма справочника «Типы документов-оснований»</w:t>
      </w:r>
      <w:bookmarkEnd w:id="517"/>
      <w:r/>
      <w:bookmarkEnd w:id="518"/>
      <w:r/>
      <w:bookmarkEnd w:id="519"/>
      <w:r/>
      <w:r/>
    </w:p>
    <w:p>
      <w:pPr>
        <w:pStyle w:val="1283"/>
      </w:pPr>
      <w:r/>
      <w:bookmarkStart w:id="520" w:name="_Toc216435785"/>
      <w:r/>
      <w:bookmarkStart w:id="521" w:name="_Toc221869923"/>
      <w:r>
        <w:t xml:space="preserve">Визуальная форма записи справочника «Типы документов-оснований»</w:t>
      </w:r>
      <w:bookmarkEnd w:id="520"/>
      <w:r/>
      <w:bookmarkEnd w:id="521"/>
      <w:r/>
      <w:r/>
    </w:p>
    <w:p>
      <w:pPr>
        <w:pStyle w:val="1305"/>
      </w:pPr>
      <w:r>
        <w:t xml:space="preserve">Визуал</w:t>
      </w:r>
      <w:r>
        <w:t xml:space="preserve">ьная форма записи справочника открывается при нажатии на кнопку «Открыть документ на просмотр» или по двойному нажатию по выбранной записи на списковой форме справочника. Визуальная форма записи справочника «Типы документов-оснований» представлена на рис. </w:t>
      </w:r>
      <w:r>
        <w:fldChar w:fldCharType="begin"/>
      </w:r>
      <w:r>
        <w:instrText xml:space="preserve"> REF _Ref108609289 \h  \* MERGEFORMAT </w:instrText>
      </w:r>
      <w:r>
        <w:fldChar w:fldCharType="separate"/>
      </w:r>
      <w:r>
        <w:t xml:space="preserve">33</w:t>
      </w:r>
      <w:r>
        <w:fldChar w:fldCharType="end"/>
      </w:r>
      <w:r>
        <w:t xml:space="preserve">.</w:t>
      </w:r>
      <w:r/>
    </w:p>
    <w:p>
      <w:pPr>
        <w:pStyle w:val="1293"/>
      </w:pPr>
      <w:r>
        <mc:AlternateContent>
          <mc:Choice Requires="wpg">
            <w:drawing>
              <wp:inline xmlns:wp="http://schemas.openxmlformats.org/drawingml/2006/wordprocessingDrawing" distT="0" distB="0" distL="0" distR="0">
                <wp:extent cx="5822185" cy="2438611"/>
                <wp:effectExtent l="0" t="0" r="762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07987" name=""/>
                        <pic:cNvPicPr>
                          <a:picLocks noChangeAspect="1"/>
                        </pic:cNvPicPr>
                        <pic:nvPr/>
                      </pic:nvPicPr>
                      <pic:blipFill>
                        <a:blip r:embed="rId58"/>
                        <a:stretch/>
                      </pic:blipFill>
                      <pic:spPr bwMode="auto">
                        <a:xfrm>
                          <a:off x="0" y="0"/>
                          <a:ext cx="5822185" cy="243861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width:458.44pt;height:192.02pt;mso-wrap-distance-left:0.00pt;mso-wrap-distance-top:0.00pt;mso-wrap-distance-right:0.00pt;mso-wrap-distance-bottom:0.00pt;" stroked="false">
                <v:path textboxrect="0,0,0,0"/>
                <v:imagedata r:id="rId58" o:title=""/>
              </v:shape>
            </w:pict>
          </mc:Fallback>
        </mc:AlternateContent>
      </w:r>
      <w:r/>
    </w:p>
    <w:p>
      <w:pPr>
        <w:pStyle w:val="1294"/>
      </w:pPr>
      <w:r>
        <w:fldChar w:fldCharType="begin"/>
      </w:r>
      <w:r>
        <w:instrText xml:space="preserve"> SEQ Рисунок \* ARABIC </w:instrText>
      </w:r>
      <w:r>
        <w:fldChar w:fldCharType="separate"/>
      </w:r>
      <w:bookmarkStart w:id="522" w:name="_Ref108609289"/>
      <w:r/>
      <w:bookmarkStart w:id="523" w:name="_Toc114731710"/>
      <w:r/>
      <w:bookmarkStart w:id="524" w:name="_Toc216435642"/>
      <w:r/>
      <w:bookmarkStart w:id="525" w:name="_Toc221869985"/>
      <w:r>
        <w:t xml:space="preserve">33</w:t>
      </w:r>
      <w:bookmarkEnd w:id="522"/>
      <w:r>
        <w:fldChar w:fldCharType="end"/>
      </w:r>
      <w:r>
        <w:t xml:space="preserve">. Визуальная форма записи справочника «Типы документов-оснований»</w:t>
      </w:r>
      <w:bookmarkEnd w:id="523"/>
      <w:r/>
      <w:bookmarkEnd w:id="524"/>
      <w:r/>
      <w:bookmarkEnd w:id="525"/>
      <w:r/>
      <w:r/>
    </w:p>
    <w:p>
      <w:pPr>
        <w:pStyle w:val="1283"/>
      </w:pPr>
      <w:r/>
      <w:bookmarkStart w:id="526" w:name="_Toc216435786"/>
      <w:r/>
      <w:bookmarkStart w:id="527" w:name="_Toc221869924"/>
      <w:r>
        <w:t xml:space="preserve">Реквизитный состав записи справочника «Типы документов-оснований»</w:t>
      </w:r>
      <w:bookmarkEnd w:id="526"/>
      <w:r/>
      <w:bookmarkEnd w:id="527"/>
      <w:r/>
      <w:r/>
    </w:p>
    <w:p>
      <w:pPr>
        <w:pStyle w:val="1305"/>
      </w:pPr>
      <w:r>
        <w:t xml:space="preserve">Реквизитный состав записи справочника приведен в таблице </w:t>
      </w:r>
      <w:r>
        <w:fldChar w:fldCharType="begin"/>
      </w:r>
      <w:r>
        <w:instrText xml:space="preserve"> REF _Ref108609303 \h  \* MERGEFORMAT </w:instrText>
      </w:r>
      <w:r>
        <w:fldChar w:fldCharType="separate"/>
      </w:r>
      <w:r>
        <w:t xml:space="preserve">7</w:t>
      </w:r>
      <w:r>
        <w:fldChar w:fldCharType="end"/>
      </w:r>
      <w:r>
        <w:t xml:space="preserve">.</w:t>
      </w:r>
      <w:r/>
    </w:p>
    <w:p>
      <w:pPr>
        <w:pStyle w:val="1304"/>
        <w:tabs>
          <w:tab w:val="num" w:pos="1701" w:leader="none"/>
        </w:tabs>
      </w:pPr>
      <w:r>
        <w:fldChar w:fldCharType="begin"/>
      </w:r>
      <w:r>
        <w:instrText xml:space="preserve"> SEQ Таблица \* ARABIC </w:instrText>
      </w:r>
      <w:r>
        <w:fldChar w:fldCharType="separate"/>
      </w:r>
      <w:bookmarkStart w:id="528" w:name="_Ref108609303"/>
      <w:r/>
      <w:bookmarkStart w:id="529" w:name="_Toc114731669"/>
      <w:r/>
      <w:bookmarkStart w:id="530" w:name="_Toc216435583"/>
      <w:r/>
      <w:bookmarkStart w:id="531" w:name="_Toc221869948"/>
      <w:r>
        <w:t xml:space="preserve">7</w:t>
      </w:r>
      <w:bookmarkEnd w:id="528"/>
      <w:r>
        <w:fldChar w:fldCharType="end"/>
      </w:r>
      <w:r>
        <w:t xml:space="preserve">. </w:t>
      </w:r>
      <w:r>
        <w:t xml:space="preserve">Реквизитный состав записи справочника </w:t>
      </w:r>
      <w:r>
        <w:t xml:space="preserve">«Типы документов-оснований»</w:t>
      </w:r>
      <w:bookmarkEnd w:id="529"/>
      <w:r/>
      <w:bookmarkEnd w:id="530"/>
      <w:r/>
      <w:bookmarkEnd w:id="531"/>
      <w:r/>
      <w:r/>
    </w:p>
    <w:tbl>
      <w:tblPr>
        <w:tblStyle w:val="1315"/>
        <w:tblW w:w="5000" w:type="pct"/>
        <w:tblLayout w:type="fixed"/>
        <w:tblLook w:val="00A0" w:firstRow="1" w:lastRow="0" w:firstColumn="1" w:lastColumn="0" w:noHBand="0" w:noVBand="0"/>
      </w:tblPr>
      <w:tblGrid>
        <w:gridCol w:w="2295"/>
        <w:gridCol w:w="993"/>
        <w:gridCol w:w="995"/>
        <w:gridCol w:w="5411"/>
      </w:tblGrid>
      <w:tr>
        <w:tblPrEx/>
        <w:trPr/>
        <w:tc>
          <w:tcPr>
            <w:tcW w:w="1184" w:type="pct"/>
            <w:textDirection w:val="lrTb"/>
            <w:noWrap w:val="false"/>
          </w:tcPr>
          <w:p>
            <w:pPr>
              <w:pStyle w:val="1317"/>
            </w:pPr>
            <w:r/>
            <w:bookmarkStart w:id="532" w:name="_Toc114731604"/>
            <w:r>
              <w:t xml:space="preserve">Наименование реквизита</w:t>
            </w:r>
            <w:r/>
          </w:p>
        </w:tc>
        <w:tc>
          <w:tcPr>
            <w:tcW w:w="512" w:type="pct"/>
            <w:textDirection w:val="lrTb"/>
            <w:noWrap w:val="false"/>
          </w:tcPr>
          <w:p>
            <w:pPr>
              <w:pStyle w:val="1317"/>
            </w:pPr>
            <w:r>
              <w:t xml:space="preserve">Обязательность</w:t>
            </w:r>
            <w:r/>
          </w:p>
        </w:tc>
        <w:tc>
          <w:tcPr>
            <w:tcW w:w="513" w:type="pct"/>
            <w:textDirection w:val="lrTb"/>
            <w:noWrap w:val="false"/>
          </w:tcPr>
          <w:p>
            <w:pPr>
              <w:pStyle w:val="1317"/>
            </w:pPr>
            <w:r>
              <w:t xml:space="preserve">Отражение на СФ</w:t>
            </w:r>
            <w:r/>
          </w:p>
        </w:tc>
        <w:tc>
          <w:tcPr>
            <w:tcW w:w="2791" w:type="pct"/>
            <w:textDirection w:val="lrTb"/>
            <w:noWrap w:val="false"/>
          </w:tcPr>
          <w:p>
            <w:pPr>
              <w:pStyle w:val="1317"/>
            </w:pPr>
            <w:r>
              <w:t xml:space="preserve">Правила заполнения реквизита</w:t>
            </w:r>
            <w:r/>
          </w:p>
        </w:tc>
      </w:tr>
      <w:tr>
        <w:tblPrEx/>
        <w:trPr/>
        <w:tc>
          <w:tcPr>
            <w:gridSpan w:val="4"/>
            <w:tcW w:w="5000" w:type="pct"/>
            <w:textDirection w:val="lrTb"/>
            <w:noWrap w:val="false"/>
          </w:tcPr>
          <w:p>
            <w:pPr>
              <w:pStyle w:val="1316"/>
              <w:rPr>
                <w:b/>
                <w:bCs/>
              </w:rPr>
            </w:pPr>
            <w:r>
              <w:rPr>
                <w:b/>
                <w:bCs/>
              </w:rPr>
              <w:t xml:space="preserve">Блок «Основная информация»</w:t>
            </w:r>
            <w:r>
              <w:rPr>
                <w:b/>
                <w:bCs/>
              </w:rPr>
            </w:r>
          </w:p>
        </w:tc>
      </w:tr>
      <w:tr>
        <w:tblPrEx/>
        <w:trPr/>
        <w:tc>
          <w:tcPr>
            <w:tcW w:w="1184" w:type="pct"/>
            <w:textDirection w:val="lrTb"/>
            <w:noWrap w:val="false"/>
          </w:tcPr>
          <w:p>
            <w:pPr>
              <w:pStyle w:val="1316"/>
            </w:pPr>
            <w:r>
              <w:rPr>
                <w:rStyle w:val="1314"/>
                <w:i w:val="0"/>
              </w:rPr>
              <w:t xml:space="preserve">Код </w:t>
            </w:r>
            <w:r>
              <w:t xml:space="preserve">документа основания</w:t>
            </w:r>
            <w:r/>
          </w:p>
        </w:tc>
        <w:tc>
          <w:tcPr>
            <w:tcW w:w="512" w:type="pct"/>
            <w:textDirection w:val="lrTb"/>
            <w:noWrap w:val="false"/>
          </w:tcPr>
          <w:p>
            <w:pPr>
              <w:pStyle w:val="1316"/>
            </w:pPr>
            <w:r>
              <w:t xml:space="preserve">Да</w:t>
            </w:r>
            <w:r/>
          </w:p>
        </w:tc>
        <w:tc>
          <w:tcPr>
            <w:tcW w:w="513" w:type="pct"/>
            <w:textDirection w:val="lrTb"/>
            <w:noWrap w:val="false"/>
          </w:tcPr>
          <w:p>
            <w:pPr>
              <w:pStyle w:val="1316"/>
            </w:pPr>
            <w:r>
              <w:t xml:space="preserve">Да</w:t>
            </w:r>
            <w:r/>
          </w:p>
        </w:tc>
        <w:tc>
          <w:tcPr>
            <w:tcW w:w="2791" w:type="pct"/>
            <w:textDirection w:val="lrTb"/>
            <w:noWrap w:val="false"/>
          </w:tcPr>
          <w:p>
            <w:pPr>
              <w:pStyle w:val="1316"/>
            </w:pPr>
            <w:r>
              <w:t xml:space="preserve">Заполняется вручную. Указывается код типа документа-основания.</w:t>
            </w:r>
            <w:r/>
          </w:p>
          <w:p>
            <w:pPr>
              <w:pStyle w:val="1316"/>
            </w:pPr>
            <w:r>
              <w:t xml:space="preserve">На СФ реквизит отражается как «Код типа», а на ВФ как «Код документа основания»</w:t>
            </w:r>
            <w:r/>
          </w:p>
        </w:tc>
      </w:tr>
      <w:tr>
        <w:tblPrEx/>
        <w:trPr/>
        <w:tc>
          <w:tcPr>
            <w:tcW w:w="1184" w:type="pct"/>
            <w:textDirection w:val="lrTb"/>
            <w:noWrap w:val="false"/>
          </w:tcPr>
          <w:p>
            <w:pPr>
              <w:pStyle w:val="1316"/>
            </w:pPr>
            <w:r>
              <w:t xml:space="preserve">Тип документа основания</w:t>
            </w:r>
            <w:r/>
          </w:p>
        </w:tc>
        <w:tc>
          <w:tcPr>
            <w:tcW w:w="512" w:type="pct"/>
            <w:textDirection w:val="lrTb"/>
            <w:noWrap w:val="false"/>
          </w:tcPr>
          <w:p>
            <w:pPr>
              <w:pStyle w:val="1316"/>
            </w:pPr>
            <w:r>
              <w:t xml:space="preserve">Да</w:t>
            </w:r>
            <w:r/>
          </w:p>
        </w:tc>
        <w:tc>
          <w:tcPr>
            <w:tcW w:w="513" w:type="pct"/>
            <w:textDirection w:val="lrTb"/>
            <w:noWrap w:val="false"/>
          </w:tcPr>
          <w:p>
            <w:pPr>
              <w:pStyle w:val="1316"/>
            </w:pPr>
            <w:r>
              <w:t xml:space="preserve">Да</w:t>
            </w:r>
            <w:r/>
          </w:p>
        </w:tc>
        <w:tc>
          <w:tcPr>
            <w:tcW w:w="2791" w:type="pct"/>
            <w:textDirection w:val="lrTb"/>
            <w:noWrap w:val="false"/>
          </w:tcPr>
          <w:p>
            <w:pPr>
              <w:pStyle w:val="1316"/>
            </w:pPr>
            <w:r>
              <w:t xml:space="preserve">Заполняется вручную. Указывается наименование документа-основания.</w:t>
            </w:r>
            <w:r/>
          </w:p>
          <w:p>
            <w:pPr>
              <w:pStyle w:val="1316"/>
            </w:pPr>
            <w:r>
              <w:t xml:space="preserve">На СФ реквизит отражается как «Тип документа», а на ВФ как «Тип документа основания»</w:t>
            </w:r>
            <w:r/>
          </w:p>
        </w:tc>
      </w:tr>
      <w:tr>
        <w:tblPrEx/>
        <w:trPr/>
        <w:tc>
          <w:tcPr>
            <w:gridSpan w:val="4"/>
            <w:tcW w:w="5000" w:type="pct"/>
            <w:textDirection w:val="lrTb"/>
            <w:noWrap w:val="false"/>
          </w:tcPr>
          <w:p>
            <w:pPr>
              <w:pStyle w:val="1316"/>
              <w:rPr>
                <w:b/>
                <w:bCs/>
              </w:rPr>
            </w:pPr>
            <w:r>
              <w:rPr>
                <w:b/>
                <w:bCs/>
              </w:rPr>
              <w:t xml:space="preserve">Блок «Информация о записи»</w:t>
            </w:r>
            <w:r>
              <w:rPr>
                <w:b/>
                <w:bCs/>
              </w:rPr>
            </w:r>
          </w:p>
        </w:tc>
      </w:tr>
      <w:tr>
        <w:tblPrEx/>
        <w:trPr/>
        <w:tc>
          <w:tcPr>
            <w:tcW w:w="1184" w:type="pct"/>
            <w:textDirection w:val="lrTb"/>
            <w:noWrap w:val="false"/>
          </w:tcPr>
          <w:p>
            <w:pPr>
              <w:pStyle w:val="1316"/>
            </w:pPr>
            <w:r>
              <w:t xml:space="preserve">Статус записи</w:t>
            </w:r>
            <w:r/>
          </w:p>
        </w:tc>
        <w:tc>
          <w:tcPr>
            <w:tcW w:w="512" w:type="pct"/>
            <w:textDirection w:val="lrTb"/>
            <w:noWrap w:val="false"/>
          </w:tcPr>
          <w:p>
            <w:pPr>
              <w:pStyle w:val="1316"/>
            </w:pPr>
            <w:r>
              <w:t xml:space="preserve">Да</w:t>
            </w:r>
            <w:r/>
          </w:p>
        </w:tc>
        <w:tc>
          <w:tcPr>
            <w:tcW w:w="513" w:type="pct"/>
            <w:textDirection w:val="lrTb"/>
            <w:noWrap w:val="false"/>
          </w:tcPr>
          <w:p>
            <w:pPr>
              <w:pStyle w:val="1316"/>
            </w:pPr>
            <w:r>
              <w:t xml:space="preserve">Да</w:t>
            </w:r>
            <w:r/>
          </w:p>
        </w:tc>
        <w:tc>
          <w:tcPr>
            <w:tcW w:w="2791" w:type="pct"/>
            <w:textDirection w:val="lrTb"/>
            <w:noWrap w:val="false"/>
          </w:tcPr>
          <w:p>
            <w:pPr>
              <w:pStyle w:val="1316"/>
            </w:pPr>
            <w:r>
              <w:t xml:space="preserve">Указывается статус записи. Заполняется автоматически в соответствии со статусной моделью.</w:t>
            </w:r>
            <w:r/>
          </w:p>
          <w:p>
            <w:pPr>
              <w:pStyle w:val="1316"/>
            </w:pPr>
            <w:r>
              <w:t xml:space="preserve">Может принимать значения:</w:t>
            </w:r>
            <w:r/>
          </w:p>
          <w:p>
            <w:pPr>
              <w:pStyle w:val="1318"/>
            </w:pPr>
            <w:r>
              <w:t xml:space="preserve">Актуальная;</w:t>
            </w:r>
            <w:r/>
          </w:p>
          <w:p>
            <w:pPr>
              <w:pStyle w:val="1318"/>
            </w:pPr>
            <w:r>
              <w:t xml:space="preserve">Архивная.</w:t>
            </w:r>
            <w:r/>
          </w:p>
          <w:p>
            <w:pPr>
              <w:pStyle w:val="1316"/>
            </w:pPr>
            <w:r>
              <w:t xml:space="preserve">На ВФ/СФ реквизит отражается как «Статус»</w:t>
            </w:r>
            <w:r/>
          </w:p>
        </w:tc>
      </w:tr>
      <w:tr>
        <w:tblPrEx/>
        <w:trPr/>
        <w:tc>
          <w:tcPr>
            <w:tcW w:w="1184" w:type="pct"/>
            <w:textDirection w:val="lrTb"/>
            <w:noWrap w:val="false"/>
          </w:tcPr>
          <w:p>
            <w:pPr>
              <w:pStyle w:val="1316"/>
            </w:pPr>
            <w:r>
              <w:t xml:space="preserve">Дата начала действия записи</w:t>
            </w:r>
            <w:r/>
          </w:p>
        </w:tc>
        <w:tc>
          <w:tcPr>
            <w:tcW w:w="512" w:type="pct"/>
            <w:textDirection w:val="lrTb"/>
            <w:noWrap w:val="false"/>
          </w:tcPr>
          <w:p>
            <w:pPr>
              <w:pStyle w:val="1316"/>
            </w:pPr>
            <w:r>
              <w:t xml:space="preserve">Да</w:t>
            </w:r>
            <w:r/>
          </w:p>
        </w:tc>
        <w:tc>
          <w:tcPr>
            <w:tcW w:w="513" w:type="pct"/>
            <w:textDirection w:val="lrTb"/>
            <w:noWrap w:val="false"/>
          </w:tcPr>
          <w:p>
            <w:pPr>
              <w:pStyle w:val="1316"/>
            </w:pPr>
            <w:r>
              <w:t xml:space="preserve">Да</w:t>
            </w:r>
            <w:r/>
          </w:p>
        </w:tc>
        <w:tc>
          <w:tcPr>
            <w:tcW w:w="2791" w:type="pct"/>
            <w:textDirection w:val="lrTb"/>
            <w:noWrap w:val="false"/>
          </w:tcPr>
          <w:p>
            <w:pPr>
              <w:pStyle w:val="1316"/>
            </w:pPr>
            <w:r>
              <w:t xml:space="preserve">Указывается дата, когда запись была добавлена в справочник. Заполняется автоматически текущей датой в момент появления записи в справочнике. </w:t>
            </w:r>
            <w:r/>
          </w:p>
          <w:p>
            <w:pPr>
              <w:pStyle w:val="1316"/>
            </w:pPr>
            <w:r>
              <w:t xml:space="preserve">На ВФ реквизит отражается как «Дата начала действия», а на СФ как «Дата начала действия записи». Отображается на ВФ/СФ в формате дд.мм.гггг</w:t>
            </w:r>
            <w:r/>
          </w:p>
        </w:tc>
      </w:tr>
      <w:tr>
        <w:tblPrEx/>
        <w:trPr/>
        <w:tc>
          <w:tcPr>
            <w:tcW w:w="1184" w:type="pct"/>
            <w:textDirection w:val="lrTb"/>
            <w:noWrap w:val="false"/>
          </w:tcPr>
          <w:p>
            <w:pPr>
              <w:pStyle w:val="1316"/>
            </w:pPr>
            <w:r>
              <w:t xml:space="preserve">Дата окончания действия записи</w:t>
            </w:r>
            <w:r/>
          </w:p>
        </w:tc>
        <w:tc>
          <w:tcPr>
            <w:tcW w:w="512" w:type="pct"/>
            <w:textDirection w:val="lrTb"/>
            <w:noWrap w:val="false"/>
          </w:tcPr>
          <w:p>
            <w:pPr>
              <w:pStyle w:val="1316"/>
            </w:pPr>
            <w:r>
              <w:t xml:space="preserve">Нет</w:t>
            </w:r>
            <w:r/>
          </w:p>
        </w:tc>
        <w:tc>
          <w:tcPr>
            <w:tcW w:w="513" w:type="pct"/>
            <w:textDirection w:val="lrTb"/>
            <w:noWrap w:val="false"/>
          </w:tcPr>
          <w:p>
            <w:pPr>
              <w:pStyle w:val="1316"/>
            </w:pPr>
            <w:r>
              <w:t xml:space="preserve">Да</w:t>
            </w:r>
            <w:r/>
          </w:p>
        </w:tc>
        <w:tc>
          <w:tcPr>
            <w:tcW w:w="2791" w:type="pct"/>
            <w:textDirection w:val="lrTb"/>
            <w:noWrap w:val="false"/>
          </w:tcPr>
          <w:p>
            <w:pPr>
              <w:pStyle w:val="1316"/>
            </w:pPr>
            <w:r>
              <w:t xml:space="preserve">Указывается дата, когда запись перешла в статус «Архивная». Заполняется автоматически текущей датой при переводе записи в статус «Архивная». </w:t>
            </w:r>
            <w:r/>
          </w:p>
          <w:p>
            <w:pPr>
              <w:pStyle w:val="1316"/>
            </w:pPr>
            <w:r>
              <w:t xml:space="preserve">На ВФ реквизит отражается как «Дата окончания действия», а на СФ как «Дата окончания действия записи». Отображается на ВФ/СФ в формате дд.мм.гггг</w:t>
            </w:r>
            <w:r/>
          </w:p>
        </w:tc>
      </w:tr>
    </w:tbl>
    <w:p>
      <w:pPr>
        <w:pStyle w:val="1282"/>
      </w:pPr>
      <w:r/>
      <w:bookmarkStart w:id="533" w:name="_Toc216435787"/>
      <w:r/>
      <w:bookmarkStart w:id="534" w:name="_Toc221869925"/>
      <w:r/>
      <w:bookmarkEnd w:id="532"/>
      <w:r>
        <w:t xml:space="preserve">Ведение справочника «Электронная карточка образцов подписей»</w:t>
      </w:r>
      <w:bookmarkEnd w:id="533"/>
      <w:r/>
      <w:bookmarkEnd w:id="534"/>
      <w:r/>
      <w:r/>
    </w:p>
    <w:p>
      <w:pPr>
        <w:pStyle w:val="1305"/>
      </w:pPr>
      <w:r>
        <w:t xml:space="preserve">Справочник «Электронная карточка образцов подписей» (ЭКОП) предназначен для просмотра оперативной информации о полномочиях пользователей. Отчет формируется по кнопке в справо</w:t>
      </w:r>
      <w:r>
        <w:t xml:space="preserve">чнике «Сводный реестр» в виде виджета, не сохраняется как отдельная запись. В справочнике «Сводный реестр» кнопка доступна для всех, если у пользователя нет доступа к функционалу ЭКОП, то при нажатии на нее выходит соответствующее информационное сообщение.</w:t>
      </w:r>
      <w:r/>
    </w:p>
    <w:p>
      <w:pPr>
        <w:pStyle w:val="1305"/>
      </w:pPr>
      <w:r>
        <w:t xml:space="preserve">Для просмотра списковой формы справочника в меню пользователя необходимо выбрать: «Подсистема нормативно-справочной информации» - «Справочники, реестры, классификаторы» – «Сводный реестр». Далее отчет формируется по кнопке в справо</w:t>
      </w:r>
      <w:r>
        <w:t xml:space="preserve">чнике «Сводный реестр» в виде виджета, не сохраняется как отдельная запись. В справочнике «Сводный реестр» кнопка доступна для всех, если у пользователя нет доступа к функционалу ЭКОП, то при нажатии на нее выходит соответствующее информационное сообщение.</w:t>
      </w:r>
      <w:r/>
    </w:p>
    <w:p>
      <w:pPr>
        <w:pStyle w:val="1283"/>
      </w:pPr>
      <w:r/>
      <w:bookmarkStart w:id="535" w:name="_Toc216435788"/>
      <w:r/>
      <w:bookmarkStart w:id="536" w:name="_Toc221869926"/>
      <w:r>
        <w:t xml:space="preserve">Визуальная форма записи справочника «Электронная карточка образцов подписей»</w:t>
      </w:r>
      <w:bookmarkEnd w:id="535"/>
      <w:r/>
      <w:bookmarkEnd w:id="536"/>
      <w:r/>
      <w:r/>
    </w:p>
    <w:p>
      <w:pPr>
        <w:pStyle w:val="1305"/>
      </w:pPr>
      <w:r>
        <w:t xml:space="preserve">Визуальная форма записи справочника «Электронной карточки образцов подписей» открывается при выборе записи справочника «Сводный реестр» и нажатии кнопки «ЭКОП» из списковой формы (рис. </w:t>
      </w:r>
      <w:r>
        <w:fldChar w:fldCharType="begin"/>
      </w:r>
      <w:r>
        <w:instrText xml:space="preserve"> REF _Ref116583328 \h  \* MERGEFORMAT </w:instrText>
      </w:r>
      <w:r>
        <w:fldChar w:fldCharType="separate"/>
      </w:r>
      <w:r>
        <w:t xml:space="preserve">34</w:t>
      </w:r>
      <w:r>
        <w:fldChar w:fldCharType="end"/>
      </w:r>
      <w:r>
        <w:t xml:space="preserve">) или из визуальной формы записи справочника «Сводный реестр» по кнопке «Электронная карточка образцов подписей» (рис. </w:t>
      </w:r>
      <w:r>
        <w:fldChar w:fldCharType="begin"/>
      </w:r>
      <w:r>
        <w:instrText xml:space="preserve"> REF _Ref116583523 \h  \* MERGEFORMAT </w:instrText>
      </w:r>
      <w:r>
        <w:fldChar w:fldCharType="separate"/>
      </w:r>
      <w:r>
        <w:t xml:space="preserve">35</w:t>
      </w:r>
      <w:r>
        <w:fldChar w:fldCharType="end"/>
      </w:r>
      <w:r>
        <w:t xml:space="preserve">). Данные записи «Электронная карточка образцов подписей» представлены ниже (рис. </w:t>
      </w:r>
      <w:r>
        <w:fldChar w:fldCharType="begin"/>
      </w:r>
      <w:r>
        <w:instrText xml:space="preserve"> REF _Ref116583662 \h  \* MERGEFORMAT </w:instrText>
      </w:r>
      <w:r>
        <w:fldChar w:fldCharType="separate"/>
      </w:r>
      <w:r>
        <w:t xml:space="preserve">36</w:t>
      </w:r>
      <w:r>
        <w:fldChar w:fldCharType="end"/>
      </w:r>
      <w:r>
        <w:t xml:space="preserve">, табл. </w:t>
      </w:r>
      <w:r>
        <w:fldChar w:fldCharType="begin"/>
      </w:r>
      <w:r>
        <w:instrText xml:space="preserve"> REF _Ref116584547 \h  \* MERGEFORMAT </w:instrText>
      </w:r>
      <w:r>
        <w:fldChar w:fldCharType="separate"/>
      </w:r>
      <w:r>
        <w:t xml:space="preserve">8</w:t>
      </w:r>
      <w:r>
        <w:fldChar w:fldCharType="end"/>
      </w:r>
      <w:r>
        <w:t xml:space="preserve">).</w:t>
      </w:r>
      <w:r/>
    </w:p>
    <w:p>
      <w:pPr>
        <w:pStyle w:val="1293"/>
      </w:pPr>
      <w:r>
        <mc:AlternateContent>
          <mc:Choice Requires="wpg">
            <w:drawing>
              <wp:inline xmlns:wp="http://schemas.openxmlformats.org/drawingml/2006/wordprocessingDrawing" distT="0" distB="0" distL="0" distR="0">
                <wp:extent cx="6120130" cy="962025"/>
                <wp:effectExtent l="0" t="0" r="0" b="0"/>
                <wp:docPr id="4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9"/>
                        <a:stretch/>
                      </pic:blipFill>
                      <pic:spPr bwMode="auto">
                        <a:xfrm>
                          <a:off x="0" y="0"/>
                          <a:ext cx="6120130" cy="9620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width:481.90pt;height:75.75pt;mso-wrap-distance-left:0.00pt;mso-wrap-distance-top:0.00pt;mso-wrap-distance-right:0.00pt;mso-wrap-distance-bottom:0.00pt;" stroked="false">
                <v:path textboxrect="0,0,0,0"/>
                <v:imagedata r:id="rId59" o:title=""/>
              </v:shape>
            </w:pict>
          </mc:Fallback>
        </mc:AlternateContent>
      </w:r>
      <w:r/>
    </w:p>
    <w:p>
      <w:pPr>
        <w:pStyle w:val="1294"/>
      </w:pPr>
      <w:r>
        <w:fldChar w:fldCharType="begin"/>
      </w:r>
      <w:r>
        <w:instrText xml:space="preserve"> SEQ Рисунок \* ARABIC </w:instrText>
      </w:r>
      <w:r>
        <w:fldChar w:fldCharType="separate"/>
      </w:r>
      <w:bookmarkStart w:id="537" w:name="_Ref116583328"/>
      <w:r/>
      <w:bookmarkStart w:id="538" w:name="_Toc216435643"/>
      <w:r/>
      <w:bookmarkStart w:id="539" w:name="_Toc221869986"/>
      <w:r>
        <w:t xml:space="preserve">34</w:t>
      </w:r>
      <w:bookmarkEnd w:id="537"/>
      <w:r>
        <w:fldChar w:fldCharType="end"/>
      </w:r>
      <w:r>
        <w:t xml:space="preserve">. Открытие «Электронной карточки образцов подписей» из списковой формы справочника «Сводный реестр»</w:t>
      </w:r>
      <w:bookmarkEnd w:id="538"/>
      <w:r/>
      <w:bookmarkEnd w:id="539"/>
      <w:r/>
      <w:r/>
    </w:p>
    <w:p>
      <w:pPr>
        <w:pStyle w:val="1293"/>
      </w:pPr>
      <w:r>
        <mc:AlternateContent>
          <mc:Choice Requires="wpg">
            <w:drawing>
              <wp:inline xmlns:wp="http://schemas.openxmlformats.org/drawingml/2006/wordprocessingDrawing" distT="0" distB="0" distL="0" distR="0">
                <wp:extent cx="6120130" cy="2104390"/>
                <wp:effectExtent l="0" t="0" r="0" b="0"/>
                <wp:docPr id="4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60"/>
                        <a:stretch/>
                      </pic:blipFill>
                      <pic:spPr bwMode="auto">
                        <a:xfrm>
                          <a:off x="0" y="0"/>
                          <a:ext cx="6120130" cy="21043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width:481.90pt;height:165.70pt;mso-wrap-distance-left:0.00pt;mso-wrap-distance-top:0.00pt;mso-wrap-distance-right:0.00pt;mso-wrap-distance-bottom:0.00pt;" stroked="false">
                <v:path textboxrect="0,0,0,0"/>
                <v:imagedata r:id="rId60" o:title=""/>
              </v:shape>
            </w:pict>
          </mc:Fallback>
        </mc:AlternateContent>
      </w:r>
      <w:r/>
    </w:p>
    <w:p>
      <w:pPr>
        <w:pStyle w:val="1294"/>
      </w:pPr>
      <w:r>
        <w:fldChar w:fldCharType="begin"/>
      </w:r>
      <w:r>
        <w:instrText xml:space="preserve"> SEQ Рисунок \* ARABIC </w:instrText>
      </w:r>
      <w:r>
        <w:fldChar w:fldCharType="separate"/>
      </w:r>
      <w:bookmarkStart w:id="540" w:name="_Ref116583523"/>
      <w:r/>
      <w:bookmarkStart w:id="541" w:name="_Toc216435644"/>
      <w:r/>
      <w:bookmarkStart w:id="542" w:name="_Toc221869987"/>
      <w:r>
        <w:t xml:space="preserve">35</w:t>
      </w:r>
      <w:bookmarkEnd w:id="540"/>
      <w:r>
        <w:fldChar w:fldCharType="end"/>
      </w:r>
      <w:r>
        <w:t xml:space="preserve">. Открытие «Электронной карточки образцов подписей» из визуальной формы записи справочника «Сводный реестр»</w:t>
      </w:r>
      <w:bookmarkEnd w:id="541"/>
      <w:r/>
      <w:bookmarkEnd w:id="542"/>
      <w:r/>
      <w:r/>
    </w:p>
    <w:p>
      <w:pPr>
        <w:pStyle w:val="1293"/>
      </w:pPr>
      <w:r>
        <mc:AlternateContent>
          <mc:Choice Requires="wpg">
            <w:drawing>
              <wp:inline xmlns:wp="http://schemas.openxmlformats.org/drawingml/2006/wordprocessingDrawing" distT="0" distB="0" distL="0" distR="0">
                <wp:extent cx="6120130" cy="4627245"/>
                <wp:effectExtent l="0" t="0" r="0" b="0"/>
                <wp:docPr id="4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61"/>
                        <a:stretch/>
                      </pic:blipFill>
                      <pic:spPr bwMode="auto">
                        <a:xfrm>
                          <a:off x="0" y="0"/>
                          <a:ext cx="6120130" cy="46272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width:481.90pt;height:364.35pt;mso-wrap-distance-left:0.00pt;mso-wrap-distance-top:0.00pt;mso-wrap-distance-right:0.00pt;mso-wrap-distance-bottom:0.00pt;" stroked="false">
                <v:path textboxrect="0,0,0,0"/>
                <v:imagedata r:id="rId61" o:title=""/>
              </v:shape>
            </w:pict>
          </mc:Fallback>
        </mc:AlternateContent>
      </w:r>
      <w:r/>
    </w:p>
    <w:p>
      <w:pPr>
        <w:pStyle w:val="1294"/>
      </w:pPr>
      <w:r>
        <w:fldChar w:fldCharType="begin"/>
      </w:r>
      <w:r>
        <w:instrText xml:space="preserve"> SEQ Рисунок \* ARABIC </w:instrText>
      </w:r>
      <w:r>
        <w:fldChar w:fldCharType="separate"/>
      </w:r>
      <w:bookmarkStart w:id="543" w:name="_Ref116583662"/>
      <w:r/>
      <w:bookmarkStart w:id="544" w:name="_Toc216435645"/>
      <w:r/>
      <w:bookmarkStart w:id="545" w:name="_Toc221869988"/>
      <w:r>
        <w:t xml:space="preserve">36</w:t>
      </w:r>
      <w:bookmarkEnd w:id="543"/>
      <w:r>
        <w:fldChar w:fldCharType="end"/>
      </w:r>
      <w:r>
        <w:t xml:space="preserve">. Визуальная форма записи справочника «Электронной карточки образцов подписей»</w:t>
      </w:r>
      <w:bookmarkEnd w:id="544"/>
      <w:r/>
      <w:bookmarkEnd w:id="545"/>
      <w:r/>
      <w:r/>
    </w:p>
    <w:p>
      <w:pPr>
        <w:pStyle w:val="1283"/>
      </w:pPr>
      <w:r/>
      <w:bookmarkStart w:id="546" w:name="_Toc216435789"/>
      <w:r/>
      <w:bookmarkStart w:id="547" w:name="_Toc221869927"/>
      <w:r>
        <w:t xml:space="preserve">Реквизитный состав записи справочника «Электронная карточка образцов подписей»</w:t>
      </w:r>
      <w:bookmarkEnd w:id="546"/>
      <w:r/>
      <w:bookmarkEnd w:id="547"/>
      <w:r/>
      <w:r/>
    </w:p>
    <w:p>
      <w:pPr>
        <w:pStyle w:val="1305"/>
      </w:pPr>
      <w:r>
        <w:t xml:space="preserve">Реквизитный состав записи справочника приведен в таблице </w:t>
      </w:r>
      <w:r>
        <w:fldChar w:fldCharType="begin"/>
      </w:r>
      <w:r>
        <w:instrText xml:space="preserve"> REF _Ref116584547 \h </w:instrText>
      </w:r>
      <w:r>
        <w:instrText xml:space="preserve"> \* MERGEFORMAT </w:instrText>
      </w:r>
      <w:r>
        <w:fldChar w:fldCharType="separate"/>
      </w:r>
      <w:r>
        <w:t xml:space="preserve">8</w:t>
      </w:r>
      <w:r>
        <w:fldChar w:fldCharType="end"/>
      </w:r>
      <w:r>
        <w:t xml:space="preserve">.</w:t>
      </w:r>
      <w:r/>
    </w:p>
    <w:p>
      <w:pPr>
        <w:pStyle w:val="1304"/>
        <w:tabs>
          <w:tab w:val="num" w:pos="1701" w:leader="none"/>
        </w:tabs>
      </w:pPr>
      <w:r/>
      <w:bookmarkStart w:id="548" w:name="_Ref116584536"/>
      <w:r>
        <w:fldChar w:fldCharType="begin"/>
      </w:r>
      <w:r>
        <w:instrText xml:space="preserve"> SEQ Таблица \* ARABIC </w:instrText>
      </w:r>
      <w:r>
        <w:fldChar w:fldCharType="separate"/>
      </w:r>
      <w:bookmarkStart w:id="549" w:name="_Ref116584547"/>
      <w:r/>
      <w:bookmarkStart w:id="550" w:name="_Toc216435584"/>
      <w:r/>
      <w:bookmarkStart w:id="551" w:name="_Toc221869949"/>
      <w:r>
        <w:t xml:space="preserve">8</w:t>
      </w:r>
      <w:bookmarkEnd w:id="549"/>
      <w:r>
        <w:fldChar w:fldCharType="end"/>
      </w:r>
      <w:r>
        <w:t xml:space="preserve">. </w:t>
      </w:r>
      <w:r>
        <w:t xml:space="preserve">Реквизитный состав </w:t>
      </w:r>
      <w:r>
        <w:t xml:space="preserve">записи справочника «Электронная карточка образцов подписей»</w:t>
      </w:r>
      <w:bookmarkEnd w:id="548"/>
      <w:r/>
      <w:bookmarkEnd w:id="550"/>
      <w:r/>
      <w:bookmarkEnd w:id="551"/>
      <w:r/>
      <w:r/>
    </w:p>
    <w:tbl>
      <w:tblPr>
        <w:tblStyle w:val="1315"/>
        <w:tblW w:w="5000" w:type="pct"/>
        <w:tblLayout w:type="fixed"/>
        <w:tblLook w:val="00A0" w:firstRow="1" w:lastRow="0" w:firstColumn="1" w:lastColumn="0" w:noHBand="0" w:noVBand="0"/>
      </w:tblPr>
      <w:tblGrid>
        <w:gridCol w:w="2935"/>
        <w:gridCol w:w="1152"/>
        <w:gridCol w:w="5607"/>
      </w:tblGrid>
      <w:tr>
        <w:tblPrEx/>
        <w:trPr/>
        <w:tc>
          <w:tcPr>
            <w:tcW w:w="1514" w:type="pct"/>
            <w:textDirection w:val="lrTb"/>
            <w:noWrap w:val="false"/>
          </w:tcPr>
          <w:p>
            <w:pPr>
              <w:pStyle w:val="1317"/>
            </w:pPr>
            <w:r>
              <w:t xml:space="preserve">Наименование реквизита</w:t>
            </w:r>
            <w:r/>
          </w:p>
        </w:tc>
        <w:tc>
          <w:tcPr>
            <w:tcW w:w="594" w:type="pct"/>
            <w:textDirection w:val="lrTb"/>
            <w:noWrap w:val="false"/>
          </w:tcPr>
          <w:p>
            <w:pPr>
              <w:pStyle w:val="1317"/>
            </w:pPr>
            <w:r>
              <w:t xml:space="preserve">Обязательность</w:t>
            </w:r>
            <w:r/>
          </w:p>
        </w:tc>
        <w:tc>
          <w:tcPr>
            <w:tcW w:w="2892" w:type="pct"/>
            <w:textDirection w:val="lrTb"/>
            <w:noWrap w:val="false"/>
          </w:tcPr>
          <w:p>
            <w:pPr>
              <w:pStyle w:val="1317"/>
            </w:pPr>
            <w:r>
              <w:t xml:space="preserve">Правила заполнения</w:t>
            </w:r>
            <w:r/>
          </w:p>
        </w:tc>
      </w:tr>
      <w:tr>
        <w:tblPrEx/>
        <w:trPr/>
        <w:tc>
          <w:tcPr>
            <w:tcW w:w="1514" w:type="pct"/>
            <w:textDirection w:val="lrTb"/>
            <w:noWrap w:val="false"/>
          </w:tcPr>
          <w:p>
            <w:pPr>
              <w:pStyle w:val="1316"/>
            </w:pPr>
            <w:r>
              <w:rPr>
                <w:rStyle w:val="1314"/>
                <w:i w:val="0"/>
              </w:rPr>
              <w:t xml:space="preserve">Код по Сводному реестру</w:t>
            </w:r>
            <w:r/>
          </w:p>
        </w:tc>
        <w:tc>
          <w:tcPr>
            <w:tcW w:w="594" w:type="pct"/>
            <w:textDirection w:val="lrTb"/>
            <w:noWrap w:val="false"/>
          </w:tcPr>
          <w:p>
            <w:pPr>
              <w:pStyle w:val="1316"/>
            </w:pPr>
            <w:r>
              <w:t xml:space="preserve">Да</w:t>
            </w:r>
            <w:r/>
          </w:p>
        </w:tc>
        <w:tc>
          <w:tcPr>
            <w:tcW w:w="2892" w:type="pct"/>
            <w:textDirection w:val="lrTb"/>
            <w:noWrap w:val="false"/>
          </w:tcPr>
          <w:p>
            <w:pPr>
              <w:pStyle w:val="1316"/>
            </w:pPr>
            <w:r>
              <w:t xml:space="preserve">Заполняется автоматически значением «Код по Сводному реестру»</w:t>
            </w:r>
            <w:r/>
          </w:p>
        </w:tc>
      </w:tr>
      <w:tr>
        <w:tblPrEx/>
        <w:trPr/>
        <w:tc>
          <w:tcPr>
            <w:tcW w:w="1514" w:type="pct"/>
            <w:textDirection w:val="lrTb"/>
            <w:noWrap w:val="false"/>
          </w:tcPr>
          <w:p>
            <w:pPr>
              <w:pStyle w:val="1316"/>
            </w:pPr>
            <w:r>
              <w:t xml:space="preserve">Полное наименование </w:t>
            </w:r>
            <w:r/>
          </w:p>
        </w:tc>
        <w:tc>
          <w:tcPr>
            <w:tcW w:w="594" w:type="pct"/>
            <w:textDirection w:val="lrTb"/>
            <w:noWrap w:val="false"/>
          </w:tcPr>
          <w:p>
            <w:pPr>
              <w:pStyle w:val="1316"/>
            </w:pPr>
            <w:r>
              <w:t xml:space="preserve">Да</w:t>
            </w:r>
            <w:r/>
          </w:p>
        </w:tc>
        <w:tc>
          <w:tcPr>
            <w:tcW w:w="2892" w:type="pct"/>
            <w:textDirection w:val="lrTb"/>
            <w:noWrap w:val="false"/>
          </w:tcPr>
          <w:p>
            <w:pPr>
              <w:pStyle w:val="1316"/>
            </w:pPr>
            <w:r>
              <w:t xml:space="preserve">Заполняется автоматически значением «Полное наименование»</w:t>
            </w:r>
            <w:r/>
          </w:p>
        </w:tc>
      </w:tr>
      <w:tr>
        <w:tblPrEx/>
        <w:trPr/>
        <w:tc>
          <w:tcPr>
            <w:gridSpan w:val="3"/>
            <w:tcW w:w="5000" w:type="pct"/>
            <w:textDirection w:val="lrTb"/>
            <w:noWrap w:val="false"/>
          </w:tcPr>
          <w:p>
            <w:pPr>
              <w:pStyle w:val="1316"/>
              <w:rPr>
                <w:b/>
              </w:rPr>
            </w:pPr>
            <w:r>
              <w:rPr>
                <w:b/>
              </w:rPr>
              <w:t xml:space="preserve">Список должностных лиц клиента, имеющих право первой подписи</w:t>
            </w:r>
            <w:r>
              <w:rPr>
                <w:b/>
              </w:rPr>
            </w:r>
          </w:p>
        </w:tc>
      </w:tr>
      <w:tr>
        <w:tblPrEx/>
        <w:trPr/>
        <w:tc>
          <w:tcPr>
            <w:tcW w:w="1514" w:type="pct"/>
            <w:textDirection w:val="lrTb"/>
            <w:noWrap w:val="false"/>
          </w:tcPr>
          <w:p>
            <w:pPr>
              <w:pStyle w:val="1316"/>
            </w:pPr>
            <w:r>
              <w:t xml:space="preserve">Фамилия, имя, отчество</w:t>
            </w:r>
            <w:r/>
          </w:p>
        </w:tc>
        <w:tc>
          <w:tcPr>
            <w:tcW w:w="594" w:type="pct"/>
            <w:textDirection w:val="lrTb"/>
            <w:noWrap w:val="false"/>
          </w:tcPr>
          <w:p>
            <w:pPr>
              <w:pStyle w:val="1316"/>
            </w:pPr>
            <w:r>
              <w:t xml:space="preserve">Да</w:t>
            </w:r>
            <w:r/>
          </w:p>
        </w:tc>
        <w:tc>
          <w:tcPr>
            <w:tcW w:w="2892" w:type="pct"/>
            <w:textDirection w:val="lrTb"/>
            <w:noWrap w:val="false"/>
          </w:tcPr>
          <w:p>
            <w:pPr>
              <w:pStyle w:val="1316"/>
            </w:pPr>
            <w:r>
              <w:t xml:space="preserve">Заполняется автоматически значением «Фамилия, имя, отчество»</w:t>
            </w:r>
            <w:r/>
          </w:p>
        </w:tc>
      </w:tr>
      <w:tr>
        <w:tblPrEx/>
        <w:trPr/>
        <w:tc>
          <w:tcPr>
            <w:tcW w:w="1514" w:type="pct"/>
            <w:textDirection w:val="lrTb"/>
            <w:noWrap w:val="false"/>
          </w:tcPr>
          <w:p>
            <w:pPr>
              <w:pStyle w:val="1316"/>
            </w:pPr>
            <w:r>
              <w:t xml:space="preserve">Должность</w:t>
            </w:r>
            <w:r/>
          </w:p>
        </w:tc>
        <w:tc>
          <w:tcPr>
            <w:tcW w:w="594" w:type="pct"/>
            <w:textDirection w:val="lrTb"/>
            <w:noWrap w:val="false"/>
          </w:tcPr>
          <w:p>
            <w:pPr>
              <w:pStyle w:val="1316"/>
            </w:pPr>
            <w:r>
              <w:t xml:space="preserve">Да</w:t>
            </w:r>
            <w:r/>
          </w:p>
        </w:tc>
        <w:tc>
          <w:tcPr>
            <w:tcW w:w="2892" w:type="pct"/>
            <w:textDirection w:val="lrTb"/>
            <w:noWrap w:val="false"/>
          </w:tcPr>
          <w:p>
            <w:pPr>
              <w:pStyle w:val="1316"/>
            </w:pPr>
            <w:r>
              <w:t xml:space="preserve">Заполняется автоматически значением «Должность»</w:t>
            </w:r>
            <w:r/>
          </w:p>
        </w:tc>
      </w:tr>
      <w:tr>
        <w:tblPrEx/>
        <w:trPr/>
        <w:tc>
          <w:tcPr>
            <w:gridSpan w:val="3"/>
            <w:tcW w:w="5000" w:type="pct"/>
            <w:textDirection w:val="lrTb"/>
            <w:noWrap w:val="false"/>
          </w:tcPr>
          <w:p>
            <w:pPr>
              <w:pStyle w:val="1316"/>
            </w:pPr>
            <w:r>
              <w:rPr>
                <w:b/>
              </w:rPr>
              <w:t xml:space="preserve">Список должностных лиц клиента, имеющих право второй подписи</w:t>
            </w:r>
            <w:r/>
          </w:p>
        </w:tc>
      </w:tr>
      <w:tr>
        <w:tblPrEx/>
        <w:trPr/>
        <w:tc>
          <w:tcPr>
            <w:tcW w:w="1514" w:type="pct"/>
            <w:textDirection w:val="lrTb"/>
            <w:noWrap w:val="false"/>
          </w:tcPr>
          <w:p>
            <w:pPr>
              <w:pStyle w:val="1316"/>
            </w:pPr>
            <w:r>
              <w:t xml:space="preserve">Фамилия, имя, отчество</w:t>
            </w:r>
            <w:r/>
          </w:p>
        </w:tc>
        <w:tc>
          <w:tcPr>
            <w:tcW w:w="594" w:type="pct"/>
            <w:textDirection w:val="lrTb"/>
            <w:noWrap w:val="false"/>
          </w:tcPr>
          <w:p>
            <w:pPr>
              <w:pStyle w:val="1316"/>
            </w:pPr>
            <w:r>
              <w:t xml:space="preserve">Да</w:t>
            </w:r>
            <w:r/>
          </w:p>
        </w:tc>
        <w:tc>
          <w:tcPr>
            <w:tcW w:w="2892" w:type="pct"/>
            <w:textDirection w:val="lrTb"/>
            <w:noWrap w:val="false"/>
          </w:tcPr>
          <w:p>
            <w:pPr>
              <w:pStyle w:val="1316"/>
            </w:pPr>
            <w:r>
              <w:t xml:space="preserve">Заполняется автоматически значением «Фамилия, имя, отчество»</w:t>
            </w:r>
            <w:r/>
          </w:p>
        </w:tc>
      </w:tr>
      <w:tr>
        <w:tblPrEx/>
        <w:trPr/>
        <w:tc>
          <w:tcPr>
            <w:tcW w:w="1514" w:type="pct"/>
            <w:textDirection w:val="lrTb"/>
            <w:noWrap w:val="false"/>
          </w:tcPr>
          <w:p>
            <w:pPr>
              <w:pStyle w:val="1316"/>
            </w:pPr>
            <w:r>
              <w:t xml:space="preserve">Должность</w:t>
            </w:r>
            <w:r/>
          </w:p>
        </w:tc>
        <w:tc>
          <w:tcPr>
            <w:tcW w:w="594" w:type="pct"/>
            <w:textDirection w:val="lrTb"/>
            <w:noWrap w:val="false"/>
          </w:tcPr>
          <w:p>
            <w:pPr>
              <w:pStyle w:val="1316"/>
            </w:pPr>
            <w:r>
              <w:t xml:space="preserve">Нет</w:t>
            </w:r>
            <w:r/>
          </w:p>
        </w:tc>
        <w:tc>
          <w:tcPr>
            <w:tcW w:w="2892" w:type="pct"/>
            <w:textDirection w:val="lrTb"/>
            <w:noWrap w:val="false"/>
          </w:tcPr>
          <w:p>
            <w:pPr>
              <w:pStyle w:val="1316"/>
            </w:pPr>
            <w:r>
              <w:t xml:space="preserve">Заполняется автоматически значением «Должность»</w:t>
            </w:r>
            <w:r/>
          </w:p>
        </w:tc>
      </w:tr>
    </w:tbl>
    <w:p>
      <w:pPr>
        <w:pStyle w:val="1281"/>
      </w:pPr>
      <w:r/>
      <w:bookmarkStart w:id="552" w:name="_Toc221869928"/>
      <w:r/>
      <w:bookmarkStart w:id="553" w:name="_Ref491279793"/>
      <w:r/>
      <w:bookmarkEnd w:id="513"/>
      <w:r>
        <w:t xml:space="preserve">Описание интерфейса, управляющих элементов и сообщений</w:t>
      </w:r>
      <w:bookmarkEnd w:id="552"/>
      <w:r/>
      <w:r/>
    </w:p>
    <w:p>
      <w:pPr>
        <w:pStyle w:val="1282"/>
      </w:pPr>
      <w:r/>
      <w:bookmarkStart w:id="554" w:name="_Toc472004301"/>
      <w:r/>
      <w:bookmarkStart w:id="555" w:name="_Toc478406898"/>
      <w:r/>
      <w:bookmarkStart w:id="556" w:name="_Toc221869929"/>
      <w:r/>
      <w:bookmarkStart w:id="557" w:name="_Toc404775072"/>
      <w:r/>
      <w:bookmarkStart w:id="558" w:name="_Toc472004306"/>
      <w:r/>
      <w:bookmarkStart w:id="559" w:name="_Toc478406907"/>
      <w:r>
        <w:t xml:space="preserve">Общие Сведения о рабочем интерфейсе</w:t>
      </w:r>
      <w:bookmarkEnd w:id="554"/>
      <w:r/>
      <w:bookmarkEnd w:id="555"/>
      <w:r/>
      <w:bookmarkEnd w:id="556"/>
      <w:r/>
      <w:bookmarkEnd w:id="557"/>
      <w:bookmarkEnd w:id="558"/>
      <w:bookmarkEnd w:id="559"/>
      <w:r/>
    </w:p>
    <w:p>
      <w:pPr>
        <w:pStyle w:val="1305"/>
      </w:pPr>
      <w:r>
        <w:t xml:space="preserve">Для того чтобы перейти в нужный документ, необходимо выбрать соответствующий пункт меню (и щелкнуть по нему левой кнопкой мыши. Откроется интерфейс работы с документом (рис. </w:t>
      </w:r>
      <w:r>
        <w:fldChar w:fldCharType="begin"/>
      </w:r>
      <w:r>
        <w:instrText xml:space="preserve"> REF _Ref530303331 \h </w:instrText>
      </w:r>
      <w:r>
        <w:instrText xml:space="preserve"> \* MERGEFORMAT </w:instrText>
      </w:r>
      <w:r>
        <w:fldChar w:fldCharType="separate"/>
      </w:r>
      <w:r>
        <w:t xml:space="preserve">37</w:t>
      </w:r>
      <w:r>
        <w:fldChar w:fldCharType="end"/>
      </w:r>
      <w:r>
        <w:t xml:space="preserve">).</w:t>
      </w:r>
      <w:r/>
    </w:p>
    <w:p>
      <w:pPr>
        <w:pStyle w:val="1293"/>
      </w:pPr>
      <w:r>
        <mc:AlternateContent>
          <mc:Choice Requires="wpg">
            <w:drawing>
              <wp:inline xmlns:wp="http://schemas.openxmlformats.org/drawingml/2006/wordprocessingDrawing" distT="0" distB="0" distL="0" distR="0">
                <wp:extent cx="6145905" cy="3095619"/>
                <wp:effectExtent l="19050" t="0" r="7245" b="0"/>
                <wp:docPr id="4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pic:cNvPicPr>
                        <pic:nvPr/>
                      </pic:nvPicPr>
                      <pic:blipFill>
                        <a:blip r:embed="rId62"/>
                        <a:stretch/>
                      </pic:blipFill>
                      <pic:spPr bwMode="auto">
                        <a:xfrm>
                          <a:off x="0" y="0"/>
                          <a:ext cx="6145905" cy="309561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width:483.93pt;height:243.75pt;mso-wrap-distance-left:0.00pt;mso-wrap-distance-top:0.00pt;mso-wrap-distance-right:0.00pt;mso-wrap-distance-bottom:0.00pt;" stroked="f">
                <v:path textboxrect="0,0,0,0"/>
                <v:imagedata r:id="rId62" o:title=""/>
              </v:shape>
            </w:pict>
          </mc:Fallback>
        </mc:AlternateContent>
      </w:r>
      <w:r/>
    </w:p>
    <w:p>
      <w:pPr>
        <w:pStyle w:val="1294"/>
      </w:pPr>
      <w:r/>
      <w:bookmarkStart w:id="560" w:name="_Ref431058159"/>
      <w:r/>
      <w:bookmarkStart w:id="561" w:name="_Toc523335152"/>
      <w:r/>
      <w:bookmarkStart w:id="562" w:name="_Toc523326995"/>
      <w:r>
        <w:fldChar w:fldCharType="begin"/>
      </w:r>
      <w:r>
        <w:instrText xml:space="preserve"> SEQ Рисунок \* ARABIC </w:instrText>
      </w:r>
      <w:r>
        <w:fldChar w:fldCharType="separate"/>
      </w:r>
      <w:bookmarkStart w:id="563" w:name="_Ref530303331"/>
      <w:r/>
      <w:bookmarkStart w:id="564" w:name="_Toc163797853"/>
      <w:r/>
      <w:bookmarkStart w:id="565" w:name="_Toc221869989"/>
      <w:r>
        <w:t xml:space="preserve">37</w:t>
      </w:r>
      <w:bookmarkEnd w:id="563"/>
      <w:r>
        <w:fldChar w:fldCharType="end"/>
      </w:r>
      <w:bookmarkEnd w:id="560"/>
      <w:r>
        <w:t xml:space="preserve">. Экранная форма рабочего места документа</w:t>
      </w:r>
      <w:bookmarkEnd w:id="561"/>
      <w:r/>
      <w:bookmarkEnd w:id="564"/>
      <w:r/>
      <w:bookmarkEnd w:id="565"/>
      <w:r>
        <w:t xml:space="preserve"> </w:t>
      </w:r>
      <w:bookmarkEnd w:id="562"/>
      <w:r/>
      <w:r/>
    </w:p>
    <w:p>
      <w:pPr>
        <w:pStyle w:val="1306"/>
      </w:pPr>
      <w:r>
        <w:t xml:space="preserve">На рисунке цифрами обозначены:</w:t>
      </w:r>
      <w:r/>
    </w:p>
    <w:p>
      <w:pPr>
        <w:pStyle w:val="1296"/>
      </w:pPr>
      <w:r>
        <w:t xml:space="preserve">панель инструментов (1);</w:t>
      </w:r>
      <w:r/>
    </w:p>
    <w:p>
      <w:pPr>
        <w:pStyle w:val="1296"/>
      </w:pPr>
      <w:r>
        <w:t xml:space="preserve">списочная форма экземпляров документов (2);</w:t>
      </w:r>
      <w:r/>
    </w:p>
    <w:p>
      <w:pPr>
        <w:pStyle w:val="1296"/>
      </w:pPr>
      <w:r>
        <w:t xml:space="preserve">краткая форма документа для быстрого просмотра (3).</w:t>
      </w:r>
      <w:r/>
    </w:p>
    <w:p>
      <w:pPr>
        <w:pStyle w:val="1282"/>
      </w:pPr>
      <w:r/>
      <w:bookmarkStart w:id="566" w:name="_Toc221869930"/>
      <w:r>
        <w:t xml:space="preserve">Панель инструментов</w:t>
      </w:r>
      <w:bookmarkEnd w:id="566"/>
      <w:r/>
      <w:r/>
    </w:p>
    <w:p>
      <w:pPr>
        <w:pStyle w:val="1305"/>
      </w:pPr>
      <w:r>
        <w:t xml:space="preserve">Для управления экземплярами документов в Системе реализована панель инструментов, содержащая набор функций (кнопок), вызывающих доступные действия над экземплярами документов. Описание функциональных кнопок панели представлено в таблице </w:t>
      </w:r>
      <w:r>
        <w:fldChar w:fldCharType="begin"/>
      </w:r>
      <w:r>
        <w:instrText xml:space="preserve"> REF _Ref530303400 \h </w:instrText>
      </w:r>
      <w:r>
        <w:instrText xml:space="preserve"> \* MERGEFORMAT </w:instrText>
      </w:r>
      <w:r>
        <w:fldChar w:fldCharType="separate"/>
      </w:r>
      <w:r>
        <w:t xml:space="preserve">9</w:t>
      </w:r>
      <w:r>
        <w:fldChar w:fldCharType="end"/>
      </w:r>
      <w:r>
        <w:t xml:space="preserve">.</w:t>
      </w:r>
      <w:r/>
    </w:p>
    <w:p>
      <w:pPr>
        <w:pStyle w:val="1304"/>
        <w:tabs>
          <w:tab w:val="num" w:pos="1701" w:leader="none"/>
        </w:tabs>
      </w:pPr>
      <w:r/>
      <w:bookmarkStart w:id="567" w:name="_Ref498614594"/>
      <w:r/>
      <w:bookmarkStart w:id="568" w:name="_Toc523333727"/>
      <w:r/>
      <w:bookmarkStart w:id="569" w:name="_Toc523335099"/>
      <w:r>
        <w:fldChar w:fldCharType="begin"/>
      </w:r>
      <w:r>
        <w:instrText xml:space="preserve"> SEQ Таблица \* ARABIC </w:instrText>
      </w:r>
      <w:r>
        <w:fldChar w:fldCharType="separate"/>
      </w:r>
      <w:bookmarkStart w:id="570" w:name="_Ref530303400"/>
      <w:r/>
      <w:bookmarkStart w:id="571" w:name="_Toc221869950"/>
      <w:r>
        <w:t xml:space="preserve">9</w:t>
      </w:r>
      <w:bookmarkEnd w:id="570"/>
      <w:r>
        <w:fldChar w:fldCharType="end"/>
      </w:r>
      <w:bookmarkEnd w:id="567"/>
      <w:r>
        <w:t xml:space="preserve">. Описание функциональных кнопок</w:t>
      </w:r>
      <w:bookmarkEnd w:id="568"/>
      <w:r/>
      <w:bookmarkEnd w:id="569"/>
      <w:r/>
      <w:bookmarkEnd w:id="571"/>
      <w:r/>
      <w:r/>
    </w:p>
    <w:tbl>
      <w:tblPr>
        <w:tblStyle w:val="1315"/>
        <w:tblW w:w="5000" w:type="pct"/>
        <w:tblLayout w:type="fixed"/>
        <w:tblLook w:val="04A0" w:firstRow="1" w:lastRow="0" w:firstColumn="1" w:lastColumn="0" w:noHBand="0" w:noVBand="1"/>
      </w:tblPr>
      <w:tblGrid>
        <w:gridCol w:w="2863"/>
        <w:gridCol w:w="6831"/>
      </w:tblGrid>
      <w:tr>
        <w:tblPrEx/>
        <w:trPr>
          <w:trHeight w:val="28"/>
        </w:trPr>
        <w:tc>
          <w:tcPr>
            <w:tcW w:w="2863" w:type="dxa"/>
            <w:textDirection w:val="lrTb"/>
            <w:noWrap w:val="false"/>
          </w:tcPr>
          <w:p>
            <w:pPr>
              <w:pStyle w:val="1317"/>
            </w:pPr>
            <w:r>
              <w:t xml:space="preserve">Вид кнопки на интерфейсе</w:t>
            </w:r>
            <w:r/>
          </w:p>
        </w:tc>
        <w:tc>
          <w:tcPr>
            <w:tcW w:w="6831" w:type="dxa"/>
            <w:textDirection w:val="lrTb"/>
            <w:noWrap w:val="false"/>
          </w:tcPr>
          <w:p>
            <w:pPr>
              <w:pStyle w:val="1317"/>
            </w:pPr>
            <w:r>
              <w:t xml:space="preserve">Значение кнопки (действия, функции)</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314286" cy="295238"/>
                      <wp:effectExtent l="0" t="0" r="0" b="0"/>
                      <wp:docPr id="49"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3"/>
                              <a:stretch/>
                            </pic:blipFill>
                            <pic:spPr bwMode="auto">
                              <a:xfrm>
                                <a:off x="0" y="0"/>
                                <a:ext cx="314286" cy="29523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width:24.75pt;height:23.25pt;mso-wrap-distance-left:0.00pt;mso-wrap-distance-top:0.00pt;mso-wrap-distance-right:0.00pt;mso-wrap-distance-bottom:0.00pt;" stroked="false">
                      <v:path textboxrect="0,0,0,0"/>
                      <v:imagedata r:id="rId33" o:title=""/>
                    </v:shape>
                  </w:pict>
                </mc:Fallback>
              </mc:AlternateContent>
            </w:r>
            <w:r/>
          </w:p>
        </w:tc>
        <w:tc>
          <w:tcPr>
            <w:tcW w:w="6831" w:type="dxa"/>
            <w:textDirection w:val="lrTb"/>
            <w:noWrap w:val="false"/>
          </w:tcPr>
          <w:p>
            <w:pPr>
              <w:pStyle w:val="1316"/>
            </w:pPr>
            <w:r>
              <w:t xml:space="preserve">Создать новый документ – при нажатии на кнопку осуществляется переход на визуальную форму формуляра с активными полями для ввода данных</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295238" cy="276190"/>
                      <wp:effectExtent l="0" t="0" r="0" b="0"/>
                      <wp:docPr id="5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63"/>
                              <a:stretch/>
                            </pic:blipFill>
                            <pic:spPr bwMode="auto">
                              <a:xfrm>
                                <a:off x="0" y="0"/>
                                <a:ext cx="295238" cy="2761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width:23.25pt;height:21.75pt;mso-wrap-distance-left:0.00pt;mso-wrap-distance-top:0.00pt;mso-wrap-distance-right:0.00pt;mso-wrap-distance-bottom:0.00pt;" stroked="false">
                      <v:path textboxrect="0,0,0,0"/>
                      <v:imagedata r:id="rId63" o:title=""/>
                    </v:shape>
                  </w:pict>
                </mc:Fallback>
              </mc:AlternateContent>
            </w:r>
            <w:r/>
          </w:p>
        </w:tc>
        <w:tc>
          <w:tcPr>
            <w:tcW w:w="6831" w:type="dxa"/>
            <w:textDirection w:val="lrTb"/>
            <w:noWrap w:val="false"/>
          </w:tcPr>
          <w:p>
            <w:pPr>
              <w:pStyle w:val="1316"/>
            </w:pPr>
            <w:r>
              <w:t xml:space="preserve">Открыть документ на просмотр – при нажатии на кнопку осуществляется переход на визуальную форму формуляра, редактирование реквизитов не доступно</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323810" cy="304762"/>
                      <wp:effectExtent l="0" t="0" r="635" b="635"/>
                      <wp:docPr id="5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64"/>
                              <a:stretch/>
                            </pic:blipFill>
                            <pic:spPr bwMode="auto">
                              <a:xfrm>
                                <a:off x="0" y="0"/>
                                <a:ext cx="323810" cy="30476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width:25.50pt;height:24.00pt;mso-wrap-distance-left:0.00pt;mso-wrap-distance-top:0.00pt;mso-wrap-distance-right:0.00pt;mso-wrap-distance-bottom:0.00pt;" stroked="false">
                      <v:path textboxrect="0,0,0,0"/>
                      <v:imagedata r:id="rId64" o:title=""/>
                    </v:shape>
                  </w:pict>
                </mc:Fallback>
              </mc:AlternateContent>
            </w:r>
            <w:r/>
          </w:p>
        </w:tc>
        <w:tc>
          <w:tcPr>
            <w:tcW w:w="6831" w:type="dxa"/>
            <w:textDirection w:val="lrTb"/>
            <w:noWrap w:val="false"/>
          </w:tcPr>
          <w:p>
            <w:pPr>
              <w:pStyle w:val="1316"/>
            </w:pPr>
            <w:r>
              <w:t xml:space="preserve">Создать копию документа</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285714" cy="276190"/>
                      <wp:effectExtent l="0" t="0" r="635" b="0"/>
                      <wp:docPr id="5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65"/>
                              <a:stretch/>
                            </pic:blipFill>
                            <pic:spPr bwMode="auto">
                              <a:xfrm>
                                <a:off x="0" y="0"/>
                                <a:ext cx="285714" cy="2761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width:22.50pt;height:21.75pt;mso-wrap-distance-left:0.00pt;mso-wrap-distance-top:0.00pt;mso-wrap-distance-right:0.00pt;mso-wrap-distance-bottom:0.00pt;" stroked="false">
                      <v:path textboxrect="0,0,0,0"/>
                      <v:imagedata r:id="rId65" o:title=""/>
                    </v:shape>
                  </w:pict>
                </mc:Fallback>
              </mc:AlternateContent>
            </w:r>
            <w:r/>
          </w:p>
        </w:tc>
        <w:tc>
          <w:tcPr>
            <w:tcW w:w="6831" w:type="dxa"/>
            <w:textDirection w:val="lrTb"/>
            <w:noWrap w:val="false"/>
          </w:tcPr>
          <w:p>
            <w:pPr>
              <w:pStyle w:val="1316"/>
            </w:pPr>
            <w:r>
              <w:t xml:space="preserve">Кнопка «Удаление» документа, возможные варианты: </w:t>
            </w:r>
            <w:r/>
          </w:p>
          <w:p>
            <w:pPr>
              <w:pStyle w:val="1318"/>
            </w:pPr>
            <w:r>
              <w:t xml:space="preserve">Удалить – «Удаление» документа из Системы;</w:t>
            </w:r>
            <w:r/>
          </w:p>
          <w:p>
            <w:pPr>
              <w:pStyle w:val="1318"/>
            </w:pPr>
            <w:r>
              <w:t xml:space="preserve">В корзину – «Удаление» документа в корзину</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314286" cy="285714"/>
                      <wp:effectExtent l="0" t="0" r="0" b="635"/>
                      <wp:docPr id="5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6"/>
                              <a:stretch/>
                            </pic:blipFill>
                            <pic:spPr bwMode="auto">
                              <a:xfrm>
                                <a:off x="0" y="0"/>
                                <a:ext cx="314286" cy="28571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width:24.75pt;height:22.50pt;mso-wrap-distance-left:0.00pt;mso-wrap-distance-top:0.00pt;mso-wrap-distance-right:0.00pt;mso-wrap-distance-bottom:0.00pt;" stroked="false">
                      <v:path textboxrect="0,0,0,0"/>
                      <v:imagedata r:id="rId56" o:title=""/>
                    </v:shape>
                  </w:pict>
                </mc:Fallback>
              </mc:AlternateContent>
            </w:r>
            <w:r/>
          </w:p>
        </w:tc>
        <w:tc>
          <w:tcPr>
            <w:tcW w:w="6831" w:type="dxa"/>
            <w:textDirection w:val="lrTb"/>
            <w:noWrap w:val="false"/>
          </w:tcPr>
          <w:p>
            <w:pPr>
              <w:pStyle w:val="1316"/>
            </w:pPr>
            <w:r>
              <w:t xml:space="preserve">Открыть документ на редактирование – при нажатии на кнопку осуществляется переход на визуальную форму формуляра с активными полями для ввода данных</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295238" cy="276190"/>
                      <wp:effectExtent l="0" t="0" r="0" b="0"/>
                      <wp:docPr id="54"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66"/>
                              <a:stretch/>
                            </pic:blipFill>
                            <pic:spPr bwMode="auto">
                              <a:xfrm>
                                <a:off x="0" y="0"/>
                                <a:ext cx="295238" cy="2761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width:23.25pt;height:21.75pt;mso-wrap-distance-left:0.00pt;mso-wrap-distance-top:0.00pt;mso-wrap-distance-right:0.00pt;mso-wrap-distance-bottom:0.00pt;" stroked="false">
                      <v:path textboxrect="0,0,0,0"/>
                      <v:imagedata r:id="rId66" o:title=""/>
                    </v:shape>
                  </w:pict>
                </mc:Fallback>
              </mc:AlternateContent>
            </w:r>
            <w:r/>
          </w:p>
        </w:tc>
        <w:tc>
          <w:tcPr>
            <w:tcW w:w="6831" w:type="dxa"/>
            <w:textDirection w:val="lrTb"/>
            <w:noWrap w:val="false"/>
          </w:tcPr>
          <w:p>
            <w:pPr>
              <w:pStyle w:val="1316"/>
            </w:pPr>
            <w:r>
              <w:t xml:space="preserve">Возврат документа на редактирование</w:t>
            </w:r>
            <w:r/>
          </w:p>
          <w:p>
            <w:pPr>
              <w:pStyle w:val="1316"/>
            </w:pPr>
            <w:r>
              <w:t xml:space="preserve">Создать заявку на изменение (из справочника)</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276190" cy="257143"/>
                      <wp:effectExtent l="0" t="0" r="0" b="0"/>
                      <wp:docPr id="5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67"/>
                              <a:stretch/>
                            </pic:blipFill>
                            <pic:spPr bwMode="auto">
                              <a:xfrm>
                                <a:off x="0" y="0"/>
                                <a:ext cx="276190" cy="25714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width:21.75pt;height:20.25pt;mso-wrap-distance-left:0.00pt;mso-wrap-distance-top:0.00pt;mso-wrap-distance-right:0.00pt;mso-wrap-distance-bottom:0.00pt;" stroked="false">
                      <v:path textboxrect="0,0,0,0"/>
                      <v:imagedata r:id="rId67" o:title=""/>
                    </v:shape>
                  </w:pict>
                </mc:Fallback>
              </mc:AlternateContent>
            </w:r>
            <w:r/>
          </w:p>
        </w:tc>
        <w:tc>
          <w:tcPr>
            <w:tcW w:w="6831" w:type="dxa"/>
            <w:textDirection w:val="lrTb"/>
            <w:noWrap w:val="false"/>
          </w:tcPr>
          <w:p>
            <w:pPr>
              <w:pStyle w:val="1316"/>
            </w:pPr>
            <w:r>
              <w:t xml:space="preserve">Создать заявку на перевод в архив (из справочника)</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323810" cy="276190"/>
                      <wp:effectExtent l="0" t="0" r="635" b="0"/>
                      <wp:docPr id="56"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68"/>
                              <a:stretch/>
                            </pic:blipFill>
                            <pic:spPr bwMode="auto">
                              <a:xfrm>
                                <a:off x="0" y="0"/>
                                <a:ext cx="323810" cy="2761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width:25.50pt;height:21.75pt;mso-wrap-distance-left:0.00pt;mso-wrap-distance-top:0.00pt;mso-wrap-distance-right:0.00pt;mso-wrap-distance-bottom:0.00pt;" stroked="false">
                      <v:path textboxrect="0,0,0,0"/>
                      <v:imagedata r:id="rId68" o:title=""/>
                    </v:shape>
                  </w:pict>
                </mc:Fallback>
              </mc:AlternateContent>
            </w:r>
            <w:r/>
          </w:p>
        </w:tc>
        <w:tc>
          <w:tcPr>
            <w:tcW w:w="6831" w:type="dxa"/>
            <w:textDirection w:val="lrTb"/>
            <w:noWrap w:val="false"/>
          </w:tcPr>
          <w:p>
            <w:pPr>
              <w:pStyle w:val="1316"/>
            </w:pPr>
            <w:r>
              <w:t xml:space="preserve">Возврат документа на редактирование для смены согласующих</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295238" cy="276190"/>
                      <wp:effectExtent l="0" t="0" r="0" b="0"/>
                      <wp:docPr id="57"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69"/>
                              <a:stretch/>
                            </pic:blipFill>
                            <pic:spPr bwMode="auto">
                              <a:xfrm>
                                <a:off x="0" y="0"/>
                                <a:ext cx="295238" cy="2761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width:23.25pt;height:21.75pt;mso-wrap-distance-left:0.00pt;mso-wrap-distance-top:0.00pt;mso-wrap-distance-right:0.00pt;mso-wrap-distance-bottom:0.00pt;" stroked="false">
                      <v:path textboxrect="0,0,0,0"/>
                      <v:imagedata r:id="rId69" o:title=""/>
                    </v:shape>
                  </w:pict>
                </mc:Fallback>
              </mc:AlternateContent>
            </w:r>
            <w:r/>
          </w:p>
          <w:p>
            <w:pPr>
              <w:pStyle w:val="1316"/>
              <w:jc w:val="center"/>
            </w:pPr>
            <w:r>
              <w:t xml:space="preserve">или </w:t>
            </w:r>
            <w:r/>
          </w:p>
          <w:p>
            <w:pPr>
              <w:pStyle w:val="1316"/>
              <w:jc w:val="center"/>
            </w:pPr>
            <w:r>
              <mc:AlternateContent>
                <mc:Choice Requires="wpg">
                  <w:drawing>
                    <wp:inline xmlns:wp="http://schemas.openxmlformats.org/drawingml/2006/wordprocessingDrawing" distT="0" distB="0" distL="0" distR="0">
                      <wp:extent cx="314286" cy="285714"/>
                      <wp:effectExtent l="0" t="0" r="0" b="635"/>
                      <wp:docPr id="5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0"/>
                              <a:stretch/>
                            </pic:blipFill>
                            <pic:spPr bwMode="auto">
                              <a:xfrm>
                                <a:off x="0" y="0"/>
                                <a:ext cx="314286" cy="28571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width:24.75pt;height:22.50pt;mso-wrap-distance-left:0.00pt;mso-wrap-distance-top:0.00pt;mso-wrap-distance-right:0.00pt;mso-wrap-distance-bottom:0.00pt;" stroked="false">
                      <v:path textboxrect="0,0,0,0"/>
                      <v:imagedata r:id="rId70" o:title=""/>
                    </v:shape>
                  </w:pict>
                </mc:Fallback>
              </mc:AlternateContent>
            </w:r>
            <w:r/>
          </w:p>
        </w:tc>
        <w:tc>
          <w:tcPr>
            <w:tcW w:w="6831" w:type="dxa"/>
            <w:textDirection w:val="lrTb"/>
            <w:noWrap w:val="false"/>
          </w:tcPr>
          <w:p>
            <w:pPr>
              <w:pStyle w:val="1316"/>
            </w:pPr>
            <w:r>
              <w:t xml:space="preserve">Отправить на согласование / утверждение</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368300" cy="313899"/>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pic:cNvPicPr>
                              <pic:nvPr/>
                            </pic:nvPicPr>
                            <pic:blipFill>
                              <a:blip r:embed="rId71"/>
                              <a:stretch/>
                            </pic:blipFill>
                            <pic:spPr bwMode="auto">
                              <a:xfrm>
                                <a:off x="0" y="0"/>
                                <a:ext cx="368300" cy="31389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width:29.00pt;height:24.72pt;mso-wrap-distance-left:0.00pt;mso-wrap-distance-top:0.00pt;mso-wrap-distance-right:0.00pt;mso-wrap-distance-bottom:0.00pt;" stroked="f">
                      <v:path textboxrect="0,0,0,0"/>
                      <v:imagedata r:id="rId71" o:title=""/>
                    </v:shape>
                  </w:pict>
                </mc:Fallback>
              </mc:AlternateContent>
            </w:r>
            <w:r/>
          </w:p>
        </w:tc>
        <w:tc>
          <w:tcPr>
            <w:tcW w:w="6831" w:type="dxa"/>
            <w:textDirection w:val="lrTb"/>
            <w:noWrap w:val="false"/>
          </w:tcPr>
          <w:p>
            <w:pPr>
              <w:pStyle w:val="1316"/>
            </w:pPr>
            <w:r>
              <w:t xml:space="preserve">Подтверждение операции согласования документа</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368300" cy="313899"/>
                      <wp:effectExtent l="0" t="0" r="0" b="0"/>
                      <wp:docPr id="6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r/>
                            </pic:nvPicPr>
                            <pic:blipFill>
                              <a:blip r:embed="rId72"/>
                              <a:stretch/>
                            </pic:blipFill>
                            <pic:spPr bwMode="auto">
                              <a:xfrm>
                                <a:off x="0" y="0"/>
                                <a:ext cx="368300" cy="31389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width:29.00pt;height:24.72pt;mso-wrap-distance-left:0.00pt;mso-wrap-distance-top:0.00pt;mso-wrap-distance-right:0.00pt;mso-wrap-distance-bottom:0.00pt;" stroked="f">
                      <v:path textboxrect="0,0,0,0"/>
                      <v:imagedata r:id="rId72" o:title=""/>
                    </v:shape>
                  </w:pict>
                </mc:Fallback>
              </mc:AlternateContent>
            </w:r>
            <w:r/>
          </w:p>
        </w:tc>
        <w:tc>
          <w:tcPr>
            <w:tcW w:w="6831" w:type="dxa"/>
            <w:textDirection w:val="lrTb"/>
            <w:noWrap w:val="false"/>
          </w:tcPr>
          <w:p>
            <w:pPr>
              <w:pStyle w:val="1316"/>
            </w:pPr>
            <w:r>
              <w:t xml:space="preserve">Подтверждение операции утверждения документа</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276190" cy="266667"/>
                      <wp:effectExtent l="0" t="0" r="0" b="635"/>
                      <wp:docPr id="6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3"/>
                              <a:stretch/>
                            </pic:blipFill>
                            <pic:spPr bwMode="auto">
                              <a:xfrm>
                                <a:off x="0" y="0"/>
                                <a:ext cx="276190" cy="26666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width:21.75pt;height:21.00pt;mso-wrap-distance-left:0.00pt;mso-wrap-distance-top:0.00pt;mso-wrap-distance-right:0.00pt;mso-wrap-distance-bottom:0.00pt;" stroked="false">
                      <v:path textboxrect="0,0,0,0"/>
                      <v:imagedata r:id="rId73" o:title=""/>
                    </v:shape>
                  </w:pict>
                </mc:Fallback>
              </mc:AlternateContent>
            </w:r>
            <w:r/>
          </w:p>
        </w:tc>
        <w:tc>
          <w:tcPr>
            <w:tcW w:w="6831" w:type="dxa"/>
            <w:textDirection w:val="lrTb"/>
            <w:noWrap w:val="false"/>
          </w:tcPr>
          <w:p>
            <w:pPr>
              <w:pStyle w:val="1316"/>
            </w:pPr>
            <w:r>
              <w:t xml:space="preserve">Утвердить Заявление и Уведомление </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295238" cy="276190"/>
                      <wp:effectExtent l="0" t="0" r="0" b="0"/>
                      <wp:docPr id="6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4"/>
                              <a:stretch/>
                            </pic:blipFill>
                            <pic:spPr bwMode="auto">
                              <a:xfrm>
                                <a:off x="0" y="0"/>
                                <a:ext cx="295238" cy="2761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width:23.25pt;height:21.75pt;mso-wrap-distance-left:0.00pt;mso-wrap-distance-top:0.00pt;mso-wrap-distance-right:0.00pt;mso-wrap-distance-bottom:0.00pt;" stroked="false">
                      <v:path textboxrect="0,0,0,0"/>
                      <v:imagedata r:id="rId74" o:title=""/>
                    </v:shape>
                  </w:pict>
                </mc:Fallback>
              </mc:AlternateContent>
            </w:r>
            <w:r/>
          </w:p>
        </w:tc>
        <w:tc>
          <w:tcPr>
            <w:tcW w:w="6831" w:type="dxa"/>
            <w:textDirection w:val="lrTb"/>
            <w:noWrap w:val="false"/>
          </w:tcPr>
          <w:p>
            <w:pPr>
              <w:pStyle w:val="1316"/>
            </w:pPr>
            <w:r>
              <w:t xml:space="preserve">Отклонение операции согласования / утверждения документа</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285714" cy="276190"/>
                      <wp:effectExtent l="0" t="0" r="635" b="0"/>
                      <wp:docPr id="63"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65"/>
                              <a:stretch/>
                            </pic:blipFill>
                            <pic:spPr bwMode="auto">
                              <a:xfrm>
                                <a:off x="0" y="0"/>
                                <a:ext cx="285714" cy="2761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width:22.50pt;height:21.75pt;mso-wrap-distance-left:0.00pt;mso-wrap-distance-top:0.00pt;mso-wrap-distance-right:0.00pt;mso-wrap-distance-bottom:0.00pt;" stroked="false">
                      <v:path textboxrect="0,0,0,0"/>
                      <v:imagedata r:id="rId65" o:title=""/>
                    </v:shape>
                  </w:pict>
                </mc:Fallback>
              </mc:AlternateContent>
            </w:r>
            <w:r/>
          </w:p>
        </w:tc>
        <w:tc>
          <w:tcPr>
            <w:tcW w:w="6831" w:type="dxa"/>
            <w:textDirection w:val="lrTb"/>
            <w:noWrap w:val="false"/>
          </w:tcPr>
          <w:p>
            <w:pPr>
              <w:pStyle w:val="1316"/>
            </w:pPr>
            <w:r>
              <w:t xml:space="preserve">Отказ подтверждение операции, кнопка «Отказать» и т.п. – отмена операции, отказ в выполнении действия</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295238" cy="276190"/>
                      <wp:effectExtent l="0" t="0" r="0" b="0"/>
                      <wp:docPr id="6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5"/>
                              <a:stretch/>
                            </pic:blipFill>
                            <pic:spPr bwMode="auto">
                              <a:xfrm>
                                <a:off x="0" y="0"/>
                                <a:ext cx="295238" cy="2761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width:23.25pt;height:21.75pt;mso-wrap-distance-left:0.00pt;mso-wrap-distance-top:0.00pt;mso-wrap-distance-right:0.00pt;mso-wrap-distance-bottom:0.00pt;" stroked="false">
                      <v:path textboxrect="0,0,0,0"/>
                      <v:imagedata r:id="rId75" o:title=""/>
                    </v:shape>
                  </w:pict>
                </mc:Fallback>
              </mc:AlternateContent>
            </w:r>
            <w:r/>
          </w:p>
        </w:tc>
        <w:tc>
          <w:tcPr>
            <w:tcW w:w="6831" w:type="dxa"/>
            <w:textDirection w:val="lrTb"/>
            <w:noWrap w:val="false"/>
          </w:tcPr>
          <w:p>
            <w:pPr>
              <w:pStyle w:val="1316"/>
            </w:pPr>
            <w:r>
              <w:t xml:space="preserve">Передать на редактирование УО </w:t>
            </w:r>
            <w:r/>
          </w:p>
          <w:p>
            <w:pPr>
              <w:pStyle w:val="1316"/>
            </w:pPr>
            <w:r>
              <w:t xml:space="preserve">Повторная отправка сообщения</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285714" cy="276190"/>
                      <wp:effectExtent l="0" t="0" r="635" b="0"/>
                      <wp:docPr id="6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6"/>
                              <a:stretch/>
                            </pic:blipFill>
                            <pic:spPr bwMode="auto">
                              <a:xfrm>
                                <a:off x="0" y="0"/>
                                <a:ext cx="285714" cy="2761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width:22.50pt;height:21.75pt;mso-wrap-distance-left:0.00pt;mso-wrap-distance-top:0.00pt;mso-wrap-distance-right:0.00pt;mso-wrap-distance-bottom:0.00pt;" stroked="false">
                      <v:path textboxrect="0,0,0,0"/>
                      <v:imagedata r:id="rId76" o:title=""/>
                    </v:shape>
                  </w:pict>
                </mc:Fallback>
              </mc:AlternateContent>
            </w:r>
            <w:r/>
          </w:p>
        </w:tc>
        <w:tc>
          <w:tcPr>
            <w:tcW w:w="6831" w:type="dxa"/>
            <w:textDirection w:val="lrTb"/>
            <w:noWrap w:val="false"/>
          </w:tcPr>
          <w:p>
            <w:pPr>
              <w:pStyle w:val="1316"/>
            </w:pPr>
            <w:r>
              <w:t xml:space="preserve">Печать списка</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276190" cy="266667"/>
                      <wp:effectExtent l="0" t="0" r="0" b="635"/>
                      <wp:docPr id="6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7"/>
                              <a:stretch/>
                            </pic:blipFill>
                            <pic:spPr bwMode="auto">
                              <a:xfrm>
                                <a:off x="0" y="0"/>
                                <a:ext cx="276190" cy="26666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width:21.75pt;height:21.00pt;mso-wrap-distance-left:0.00pt;mso-wrap-distance-top:0.00pt;mso-wrap-distance-right:0.00pt;mso-wrap-distance-bottom:0.00pt;" stroked="false">
                      <v:path textboxrect="0,0,0,0"/>
                      <v:imagedata r:id="rId77" o:title=""/>
                    </v:shape>
                  </w:pict>
                </mc:Fallback>
              </mc:AlternateContent>
            </w:r>
            <w:r/>
          </w:p>
        </w:tc>
        <w:tc>
          <w:tcPr>
            <w:tcW w:w="6831" w:type="dxa"/>
            <w:textDirection w:val="lrTb"/>
            <w:noWrap w:val="false"/>
          </w:tcPr>
          <w:p>
            <w:pPr>
              <w:pStyle w:val="1316"/>
            </w:pPr>
            <w:r>
              <w:t xml:space="preserve">Печать документа</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304762" cy="295238"/>
                      <wp:effectExtent l="0" t="0" r="635" b="0"/>
                      <wp:docPr id="6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8"/>
                              <a:stretch/>
                            </pic:blipFill>
                            <pic:spPr bwMode="auto">
                              <a:xfrm>
                                <a:off x="0" y="0"/>
                                <a:ext cx="304762" cy="29523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width:24.00pt;height:23.25pt;mso-wrap-distance-left:0.00pt;mso-wrap-distance-top:0.00pt;mso-wrap-distance-right:0.00pt;mso-wrap-distance-bottom:0.00pt;" stroked="false">
                      <v:path textboxrect="0,0,0,0"/>
                      <v:imagedata r:id="rId78" o:title=""/>
                    </v:shape>
                  </w:pict>
                </mc:Fallback>
              </mc:AlternateContent>
            </w:r>
            <w:r/>
          </w:p>
        </w:tc>
        <w:tc>
          <w:tcPr>
            <w:tcW w:w="6831" w:type="dxa"/>
            <w:textDirection w:val="lrTb"/>
            <w:noWrap w:val="false"/>
          </w:tcPr>
          <w:p>
            <w:pPr>
              <w:pStyle w:val="1316"/>
            </w:pPr>
            <w:r>
              <w:t xml:space="preserve">Обновить список документов – обновление списка документов на интерфейсе</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295238" cy="276190"/>
                      <wp:effectExtent l="0" t="0" r="0" b="0"/>
                      <wp:docPr id="68"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9"/>
                              <a:stretch/>
                            </pic:blipFill>
                            <pic:spPr bwMode="auto">
                              <a:xfrm>
                                <a:off x="0" y="0"/>
                                <a:ext cx="295238" cy="2761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width:23.25pt;height:21.75pt;mso-wrap-distance-left:0.00pt;mso-wrap-distance-top:0.00pt;mso-wrap-distance-right:0.00pt;mso-wrap-distance-bottom:0.00pt;" stroked="false">
                      <v:path textboxrect="0,0,0,0"/>
                      <v:imagedata r:id="rId79" o:title=""/>
                    </v:shape>
                  </w:pict>
                </mc:Fallback>
              </mc:AlternateContent>
            </w:r>
            <w:r/>
          </w:p>
        </w:tc>
        <w:tc>
          <w:tcPr>
            <w:tcW w:w="6831" w:type="dxa"/>
            <w:textDirection w:val="lrTb"/>
            <w:noWrap w:val="false"/>
          </w:tcPr>
          <w:p>
            <w:pPr>
              <w:pStyle w:val="1316"/>
            </w:pPr>
            <w:r>
              <w:t xml:space="preserve">Распространить запись в другие системы</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285714" cy="276190"/>
                      <wp:effectExtent l="0" t="0" r="635" b="0"/>
                      <wp:docPr id="69"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0"/>
                              <a:stretch/>
                            </pic:blipFill>
                            <pic:spPr bwMode="auto">
                              <a:xfrm>
                                <a:off x="0" y="0"/>
                                <a:ext cx="285714" cy="2761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width:22.50pt;height:21.75pt;mso-wrap-distance-left:0.00pt;mso-wrap-distance-top:0.00pt;mso-wrap-distance-right:0.00pt;mso-wrap-distance-bottom:0.00pt;" stroked="false">
                      <v:path textboxrect="0,0,0,0"/>
                      <v:imagedata r:id="rId80" o:title=""/>
                    </v:shape>
                  </w:pict>
                </mc:Fallback>
              </mc:AlternateContent>
            </w:r>
            <w:r/>
          </w:p>
        </w:tc>
        <w:tc>
          <w:tcPr>
            <w:tcW w:w="6831" w:type="dxa"/>
            <w:textDirection w:val="lrTb"/>
            <w:noWrap w:val="false"/>
          </w:tcPr>
          <w:p>
            <w:pPr>
              <w:pStyle w:val="1316"/>
            </w:pPr>
            <w:r>
              <w:t xml:space="preserve">Импорт – загрузка документа в Систему</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323810" cy="314286"/>
                      <wp:effectExtent l="0" t="0" r="635" b="0"/>
                      <wp:docPr id="7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1"/>
                              <a:stretch/>
                            </pic:blipFill>
                            <pic:spPr bwMode="auto">
                              <a:xfrm>
                                <a:off x="0" y="0"/>
                                <a:ext cx="323810" cy="31428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width:25.50pt;height:24.75pt;mso-wrap-distance-left:0.00pt;mso-wrap-distance-top:0.00pt;mso-wrap-distance-right:0.00pt;mso-wrap-distance-bottom:0.00pt;" stroked="false">
                      <v:path textboxrect="0,0,0,0"/>
                      <v:imagedata r:id="rId81" o:title=""/>
                    </v:shape>
                  </w:pict>
                </mc:Fallback>
              </mc:AlternateContent>
            </w:r>
            <w:r/>
          </w:p>
        </w:tc>
        <w:tc>
          <w:tcPr>
            <w:tcW w:w="6831" w:type="dxa"/>
            <w:textDirection w:val="lrTb"/>
            <w:noWrap w:val="false"/>
          </w:tcPr>
          <w:p>
            <w:pPr>
              <w:pStyle w:val="1316"/>
            </w:pPr>
            <w:r>
              <w:t xml:space="preserve">Экспорт – выгрузка документа из Системы</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272889" cy="238836"/>
                      <wp:effectExtent l="0" t="0" r="0" b="0"/>
                      <wp:docPr id="71"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pic:cNvPicPr>
                              <pic:nvPr/>
                            </pic:nvPicPr>
                            <pic:blipFill>
                              <a:blip r:embed="rId82"/>
                              <a:stretch/>
                            </pic:blipFill>
                            <pic:spPr bwMode="auto">
                              <a:xfrm>
                                <a:off x="0" y="0"/>
                                <a:ext cx="272889" cy="23883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0" o:spid="_x0000_s70" type="#_x0000_t75" style="width:21.49pt;height:18.81pt;mso-wrap-distance-left:0.00pt;mso-wrap-distance-top:0.00pt;mso-wrap-distance-right:0.00pt;mso-wrap-distance-bottom:0.00pt;" stroked="f">
                      <v:path textboxrect="0,0,0,0"/>
                      <v:imagedata r:id="rId82" o:title=""/>
                    </v:shape>
                  </w:pict>
                </mc:Fallback>
              </mc:AlternateContent>
            </w:r>
            <w:r/>
          </w:p>
        </w:tc>
        <w:tc>
          <w:tcPr>
            <w:tcW w:w="6831" w:type="dxa"/>
            <w:textDirection w:val="lrTb"/>
            <w:noWrap w:val="false"/>
          </w:tcPr>
          <w:p>
            <w:pPr>
              <w:pStyle w:val="1316"/>
            </w:pPr>
            <w:r>
              <w:t xml:space="preserve">Проверка корректности заполнения документа по имеющимся контролям</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295238" cy="276190"/>
                      <wp:effectExtent l="0" t="0" r="0" b="0"/>
                      <wp:docPr id="72"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3"/>
                              <a:stretch/>
                            </pic:blipFill>
                            <pic:spPr bwMode="auto">
                              <a:xfrm>
                                <a:off x="0" y="0"/>
                                <a:ext cx="295238" cy="2761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width:23.25pt;height:21.75pt;mso-wrap-distance-left:0.00pt;mso-wrap-distance-top:0.00pt;mso-wrap-distance-right:0.00pt;mso-wrap-distance-bottom:0.00pt;" stroked="false">
                      <v:path textboxrect="0,0,0,0"/>
                      <v:imagedata r:id="rId83" o:title=""/>
                    </v:shape>
                  </w:pict>
                </mc:Fallback>
              </mc:AlternateContent>
            </w:r>
            <w:r/>
          </w:p>
        </w:tc>
        <w:tc>
          <w:tcPr>
            <w:tcW w:w="6831" w:type="dxa"/>
            <w:textDirection w:val="lrTb"/>
            <w:noWrap w:val="false"/>
          </w:tcPr>
          <w:p>
            <w:pPr>
              <w:pStyle w:val="1316"/>
            </w:pPr>
            <w:r>
              <w:t xml:space="preserve">Проверка ЭЦП, которой подписан документ</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285714" cy="276190"/>
                      <wp:effectExtent l="0" t="0" r="635" b="0"/>
                      <wp:docPr id="73"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4"/>
                              <a:stretch/>
                            </pic:blipFill>
                            <pic:spPr bwMode="auto">
                              <a:xfrm>
                                <a:off x="0" y="0"/>
                                <a:ext cx="285714" cy="2761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width:22.50pt;height:21.75pt;mso-wrap-distance-left:0.00pt;mso-wrap-distance-top:0.00pt;mso-wrap-distance-right:0.00pt;mso-wrap-distance-bottom:0.00pt;" stroked="false">
                      <v:path textboxrect="0,0,0,0"/>
                      <v:imagedata r:id="rId84" o:title=""/>
                    </v:shape>
                  </w:pict>
                </mc:Fallback>
              </mc:AlternateContent>
            </w:r>
            <w:r/>
          </w:p>
        </w:tc>
        <w:tc>
          <w:tcPr>
            <w:tcW w:w="6831" w:type="dxa"/>
            <w:textDirection w:val="lrTb"/>
            <w:noWrap w:val="false"/>
          </w:tcPr>
          <w:p>
            <w:pPr>
              <w:pStyle w:val="1316"/>
            </w:pPr>
            <w:r>
              <w:t xml:space="preserve">Удаление ЭЦП, которой подписан документ, отмена подписания документа</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314286" cy="285714"/>
                      <wp:effectExtent l="0" t="0" r="0" b="635"/>
                      <wp:docPr id="7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5"/>
                              <a:stretch/>
                            </pic:blipFill>
                            <pic:spPr bwMode="auto">
                              <a:xfrm>
                                <a:off x="0" y="0"/>
                                <a:ext cx="314286" cy="28571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width:24.75pt;height:22.50pt;mso-wrap-distance-left:0.00pt;mso-wrap-distance-top:0.00pt;mso-wrap-distance-right:0.00pt;mso-wrap-distance-bottom:0.00pt;" stroked="false">
                      <v:path textboxrect="0,0,0,0"/>
                      <v:imagedata r:id="rId85" o:title=""/>
                    </v:shape>
                  </w:pict>
                </mc:Fallback>
              </mc:AlternateContent>
            </w:r>
            <w:r/>
          </w:p>
        </w:tc>
        <w:tc>
          <w:tcPr>
            <w:tcW w:w="6831" w:type="dxa"/>
            <w:textDirection w:val="lrTb"/>
            <w:noWrap w:val="false"/>
          </w:tcPr>
          <w:p>
            <w:pPr>
              <w:pStyle w:val="1316"/>
            </w:pPr>
            <w:r>
              <w:t xml:space="preserve">Карточка ЭКОП</w:t>
            </w:r>
            <w:r/>
          </w:p>
          <w:p>
            <w:pPr>
              <w:pStyle w:val="1316"/>
            </w:pPr>
            <w:r>
              <w:t xml:space="preserve">Запуск АП</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209550" cy="209550"/>
                      <wp:effectExtent l="0" t="0" r="0" b="0"/>
                      <wp:docPr id="75" name="Рисунок 1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86"/>
                              <a:stretch/>
                            </pic:blipFill>
                            <pic:spPr bwMode="auto">
                              <a:xfrm>
                                <a:off x="0" y="0"/>
                                <a:ext cx="209550" cy="2095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4" o:spid="_x0000_s74" type="#_x0000_t75" style="width:16.50pt;height:16.50pt;mso-wrap-distance-left:0.00pt;mso-wrap-distance-top:0.00pt;mso-wrap-distance-right:0.00pt;mso-wrap-distance-bottom:0.00pt;" stroked="f">
                      <v:path textboxrect="0,0,0,0"/>
                      <v:imagedata r:id="rId86" o:title=""/>
                    </v:shape>
                  </w:pict>
                </mc:Fallback>
              </mc:AlternateContent>
            </w:r>
            <w:r/>
          </w:p>
          <w:p>
            <w:pPr>
              <w:pStyle w:val="1316"/>
              <w:jc w:val="center"/>
            </w:pPr>
            <w:r>
              <w:t xml:space="preserve">или</w:t>
            </w:r>
            <w:r/>
          </w:p>
          <w:p>
            <w:pPr>
              <w:pStyle w:val="1316"/>
              <w:jc w:val="center"/>
            </w:pPr>
            <w:r>
              <mc:AlternateContent>
                <mc:Choice Requires="wpg">
                  <w:drawing>
                    <wp:inline xmlns:wp="http://schemas.openxmlformats.org/drawingml/2006/wordprocessingDrawing" distT="0" distB="0" distL="0" distR="0">
                      <wp:extent cx="180975" cy="152400"/>
                      <wp:effectExtent l="0" t="0" r="9525" b="0"/>
                      <wp:docPr id="7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pic:cNvPicPr>
                              <pic:nvPr/>
                            </pic:nvPicPr>
                            <pic:blipFill>
                              <a:blip r:embed="rId87"/>
                              <a:stretch/>
                            </pic:blipFill>
                            <pic:spPr bwMode="auto">
                              <a:xfrm>
                                <a:off x="0" y="0"/>
                                <a:ext cx="180975" cy="1524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5" o:spid="_x0000_s75" type="#_x0000_t75" style="width:14.25pt;height:12.00pt;mso-wrap-distance-left:0.00pt;mso-wrap-distance-top:0.00pt;mso-wrap-distance-right:0.00pt;mso-wrap-distance-bottom:0.00pt;" stroked="f">
                      <v:path textboxrect="0,0,0,0"/>
                      <v:imagedata r:id="rId87" o:title=""/>
                    </v:shape>
                  </w:pict>
                </mc:Fallback>
              </mc:AlternateContent>
            </w:r>
            <w:r/>
          </w:p>
        </w:tc>
        <w:tc>
          <w:tcPr>
            <w:tcW w:w="6831" w:type="dxa"/>
            <w:textDirection w:val="lrTb"/>
            <w:noWrap w:val="false"/>
          </w:tcPr>
          <w:p>
            <w:pPr>
              <w:pStyle w:val="1316"/>
            </w:pPr>
            <w:r>
              <w:t xml:space="preserve">Вызов справочника (используется на ВФ формуляров для выбора значений из справочника)</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295238" cy="276190"/>
                      <wp:effectExtent l="0" t="0" r="0" b="0"/>
                      <wp:docPr id="7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8"/>
                              <a:stretch/>
                            </pic:blipFill>
                            <pic:spPr bwMode="auto">
                              <a:xfrm>
                                <a:off x="0" y="0"/>
                                <a:ext cx="295238" cy="2761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6" o:spid="_x0000_s76" type="#_x0000_t75" style="width:23.25pt;height:21.75pt;mso-wrap-distance-left:0.00pt;mso-wrap-distance-top:0.00pt;mso-wrap-distance-right:0.00pt;mso-wrap-distance-bottom:0.00pt;" stroked="false">
                      <v:path textboxrect="0,0,0,0"/>
                      <v:imagedata r:id="rId88" o:title=""/>
                    </v:shape>
                  </w:pict>
                </mc:Fallback>
              </mc:AlternateContent>
            </w:r>
            <w:r/>
          </w:p>
        </w:tc>
        <w:tc>
          <w:tcPr>
            <w:tcW w:w="6831" w:type="dxa"/>
            <w:textDirection w:val="lrTb"/>
            <w:noWrap w:val="false"/>
          </w:tcPr>
          <w:p>
            <w:pPr>
              <w:pStyle w:val="1316"/>
            </w:pPr>
            <w:r>
              <w:t xml:space="preserve">Создание запроса</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295238" cy="276190"/>
                      <wp:effectExtent l="0" t="0" r="0" b="0"/>
                      <wp:docPr id="7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9"/>
                              <a:stretch/>
                            </pic:blipFill>
                            <pic:spPr bwMode="auto">
                              <a:xfrm>
                                <a:off x="0" y="0"/>
                                <a:ext cx="295238" cy="2761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7" o:spid="_x0000_s77" type="#_x0000_t75" style="width:23.25pt;height:21.75pt;mso-wrap-distance-left:0.00pt;mso-wrap-distance-top:0.00pt;mso-wrap-distance-right:0.00pt;mso-wrap-distance-bottom:0.00pt;" stroked="false">
                      <v:path textboxrect="0,0,0,0"/>
                      <v:imagedata r:id="rId89" o:title=""/>
                    </v:shape>
                  </w:pict>
                </mc:Fallback>
              </mc:AlternateContent>
            </w:r>
            <w:r/>
          </w:p>
          <w:p>
            <w:pPr>
              <w:pStyle w:val="1316"/>
              <w:jc w:val="center"/>
            </w:pPr>
            <w:r>
              <w:t xml:space="preserve">или</w:t>
            </w:r>
            <w:r/>
          </w:p>
          <w:p>
            <w:pPr>
              <w:pStyle w:val="1316"/>
              <w:jc w:val="center"/>
            </w:pPr>
            <w:r>
              <mc:AlternateContent>
                <mc:Choice Requires="wpg">
                  <w:drawing>
                    <wp:inline xmlns:wp="http://schemas.openxmlformats.org/drawingml/2006/wordprocessingDrawing" distT="0" distB="0" distL="0" distR="0">
                      <wp:extent cx="304762" cy="285714"/>
                      <wp:effectExtent l="0" t="0" r="635" b="635"/>
                      <wp:docPr id="7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0"/>
                              <a:stretch/>
                            </pic:blipFill>
                            <pic:spPr bwMode="auto">
                              <a:xfrm>
                                <a:off x="0" y="0"/>
                                <a:ext cx="304762" cy="28571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8" o:spid="_x0000_s78" type="#_x0000_t75" style="width:24.00pt;height:22.50pt;mso-wrap-distance-left:0.00pt;mso-wrap-distance-top:0.00pt;mso-wrap-distance-right:0.00pt;mso-wrap-distance-bottom:0.00pt;" stroked="false">
                      <v:path textboxrect="0,0,0,0"/>
                      <v:imagedata r:id="rId90" o:title=""/>
                    </v:shape>
                  </w:pict>
                </mc:Fallback>
              </mc:AlternateContent>
            </w:r>
            <w:r/>
          </w:p>
        </w:tc>
        <w:tc>
          <w:tcPr>
            <w:tcW w:w="6831" w:type="dxa"/>
            <w:textDirection w:val="lrTb"/>
            <w:noWrap w:val="false"/>
          </w:tcPr>
          <w:p>
            <w:pPr>
              <w:pStyle w:val="1316"/>
            </w:pPr>
            <w:r>
              <w:t xml:space="preserve">Запуск ТЗ вручную, </w:t>
            </w:r>
            <w:r/>
          </w:p>
          <w:p>
            <w:pPr>
              <w:pStyle w:val="1316"/>
            </w:pPr>
            <w:r>
              <w:t xml:space="preserve">например, Обновление данных по ЕГРЮЛ и ЛС</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314286" cy="285714"/>
                      <wp:effectExtent l="0" t="0" r="0" b="635"/>
                      <wp:docPr id="8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1"/>
                              <a:stretch/>
                            </pic:blipFill>
                            <pic:spPr bwMode="auto">
                              <a:xfrm>
                                <a:off x="0" y="0"/>
                                <a:ext cx="314286" cy="28571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9" o:spid="_x0000_s79" type="#_x0000_t75" style="width:24.75pt;height:22.50pt;mso-wrap-distance-left:0.00pt;mso-wrap-distance-top:0.00pt;mso-wrap-distance-right:0.00pt;mso-wrap-distance-bottom:0.00pt;" stroked="false">
                      <v:path textboxrect="0,0,0,0"/>
                      <v:imagedata r:id="rId91" o:title=""/>
                    </v:shape>
                  </w:pict>
                </mc:Fallback>
              </mc:AlternateContent>
            </w:r>
            <w:r/>
          </w:p>
        </w:tc>
        <w:tc>
          <w:tcPr>
            <w:tcW w:w="6831" w:type="dxa"/>
            <w:textDirection w:val="lrTb"/>
            <w:noWrap w:val="false"/>
          </w:tcPr>
          <w:p>
            <w:pPr>
              <w:pStyle w:val="1316"/>
            </w:pPr>
            <w:r>
              <w:t xml:space="preserve">Ручная отправка в </w:t>
            </w:r>
            <w:r>
              <w:rPr>
                <w:lang w:val="en-US"/>
              </w:rPr>
              <w:t xml:space="preserve">jms</w:t>
            </w:r>
            <w:r>
              <w:t xml:space="preserve"> очередь</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295238" cy="276190"/>
                      <wp:effectExtent l="0" t="0" r="0" b="0"/>
                      <wp:docPr id="8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2"/>
                              <a:stretch/>
                            </pic:blipFill>
                            <pic:spPr bwMode="auto">
                              <a:xfrm>
                                <a:off x="0" y="0"/>
                                <a:ext cx="295238" cy="2761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0" o:spid="_x0000_s80" type="#_x0000_t75" style="width:23.25pt;height:21.75pt;mso-wrap-distance-left:0.00pt;mso-wrap-distance-top:0.00pt;mso-wrap-distance-right:0.00pt;mso-wrap-distance-bottom:0.00pt;" stroked="false">
                      <v:path textboxrect="0,0,0,0"/>
                      <v:imagedata r:id="rId92" o:title=""/>
                    </v:shape>
                  </w:pict>
                </mc:Fallback>
              </mc:AlternateContent>
            </w:r>
            <w:r/>
          </w:p>
        </w:tc>
        <w:tc>
          <w:tcPr>
            <w:tcW w:w="6831" w:type="dxa"/>
            <w:textDirection w:val="lrTb"/>
            <w:noWrap w:val="false"/>
          </w:tcPr>
          <w:p>
            <w:pPr>
              <w:pStyle w:val="1316"/>
            </w:pPr>
            <w:r>
              <w:t xml:space="preserve">Показать изменения</w:t>
            </w:r>
            <w:r/>
          </w:p>
        </w:tc>
      </w:tr>
      <w:tr>
        <w:tblPrEx/>
        <w:trPr>
          <w:trHeight w:val="454"/>
        </w:trPr>
        <w:tc>
          <w:tcPr>
            <w:tcW w:w="2863" w:type="dxa"/>
            <w:textDirection w:val="lrTb"/>
            <w:noWrap w:val="false"/>
          </w:tcPr>
          <w:p>
            <w:pPr>
              <w:ind w:hanging="57"/>
              <w:jc w:val="center"/>
            </w:pPr>
            <w:r>
              <w:object w:dxaOrig="390" w:dyaOrig="375">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1" o:spid="_x0000_s81" type="#_x0000_t75" style="width:21.75pt;height:18.75pt;mso-wrap-distance-left:0.00pt;mso-wrap-distance-top:0.00pt;mso-wrap-distance-right:0.00pt;mso-wrap-distance-bottom:0.00pt;" filled="f" stroked="f">
                  <v:path textboxrect="0,0,0,0"/>
                  <v:imagedata r:id="rId93" o:title=""/>
                </v:shape>
                <o:OLEObject DrawAspect="Content" r:id="rId94" ObjectID="_15250481" ProgID="PBrush" ShapeID="_x0000_i81" Type="Embed"/>
              </w:object>
            </w:r>
            <w:r/>
          </w:p>
        </w:tc>
        <w:tc>
          <w:tcPr>
            <w:tcW w:w="6831" w:type="dxa"/>
            <w:textDirection w:val="lrTb"/>
            <w:noWrap w:val="false"/>
          </w:tcPr>
          <w:p>
            <w:pPr>
              <w:pStyle w:val="1316"/>
            </w:pPr>
            <w:r>
              <w:t xml:space="preserve">Применить фильтр</w:t>
            </w:r>
            <w:r/>
          </w:p>
        </w:tc>
      </w:tr>
      <w:tr>
        <w:tblPrEx/>
        <w:trPr>
          <w:trHeight w:val="454"/>
        </w:trPr>
        <w:tc>
          <w:tcPr>
            <w:tcW w:w="2863" w:type="dxa"/>
            <w:textDirection w:val="lrTb"/>
            <w:noWrap w:val="false"/>
          </w:tcPr>
          <w:p>
            <w:pPr>
              <w:ind w:hanging="57"/>
              <w:jc w:val="center"/>
            </w:pPr>
            <w:r>
              <mc:AlternateContent>
                <mc:Choice Requires="wpg">
                  <w:drawing>
                    <wp:inline xmlns:wp="http://schemas.openxmlformats.org/drawingml/2006/wordprocessingDrawing" distT="0" distB="0" distL="0" distR="0">
                      <wp:extent cx="191135" cy="223520"/>
                      <wp:effectExtent l="0" t="0" r="0" b="5080"/>
                      <wp:docPr id="8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pic:cNvPicPr>
                              <pic:nvPr/>
                            </pic:nvPicPr>
                            <pic:blipFill>
                              <a:blip r:embed="rId95"/>
                              <a:stretch/>
                            </pic:blipFill>
                            <pic:spPr bwMode="auto">
                              <a:xfrm>
                                <a:off x="0" y="0"/>
                                <a:ext cx="191135" cy="2235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2" o:spid="_x0000_s82" type="#_x0000_t75" style="width:15.05pt;height:17.60pt;mso-wrap-distance-left:0.00pt;mso-wrap-distance-top:0.00pt;mso-wrap-distance-right:0.00pt;mso-wrap-distance-bottom:0.00pt;" stroked="f">
                      <v:path textboxrect="0,0,0,0"/>
                      <v:imagedata r:id="rId95" o:title=""/>
                    </v:shape>
                  </w:pict>
                </mc:Fallback>
              </mc:AlternateContent>
            </w:r>
            <w:r/>
          </w:p>
        </w:tc>
        <w:tc>
          <w:tcPr>
            <w:tcW w:w="6831" w:type="dxa"/>
            <w:textDirection w:val="lrTb"/>
            <w:noWrap w:val="false"/>
          </w:tcPr>
          <w:p>
            <w:pPr>
              <w:pStyle w:val="1316"/>
            </w:pPr>
            <w:r>
              <w:t xml:space="preserve">Сбросить фильтр (находится справа от элемента «Пользовательский фильтр»)</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368300" cy="327025"/>
                      <wp:effectExtent l="0" t="0" r="0" b="0"/>
                      <wp:docPr id="84" name="Рисунок 106"/>
                      <wp:cNvGraphicFramePr/>
                      <a:graphic xmlns:a="http://schemas.openxmlformats.org/drawingml/2006/main">
                        <a:graphicData uri="http://schemas.openxmlformats.org/drawingml/2006/picture">
                          <pic:pic xmlns:pic="http://schemas.openxmlformats.org/drawingml/2006/picture">
                            <pic:nvPicPr>
                              <pic:cNvPr id="106" name="Рисунок 106"/>
                              <pic:cNvPicPr/>
                              <pic:nvPr/>
                            </pic:nvPicPr>
                            <pic:blipFill>
                              <a:blip r:embed="rId96"/>
                              <a:stretch/>
                            </pic:blipFill>
                            <pic:spPr bwMode="auto">
                              <a:xfrm>
                                <a:off x="0" y="0"/>
                                <a:ext cx="368300" cy="3270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3" o:spid="_x0000_s83" type="#_x0000_t75" style="width:29.00pt;height:25.75pt;mso-wrap-distance-left:0.00pt;mso-wrap-distance-top:0.00pt;mso-wrap-distance-right:0.00pt;mso-wrap-distance-bottom:0.00pt;" stroked="f">
                      <v:path textboxrect="0,0,0,0"/>
                      <v:imagedata r:id="rId96" o:title=""/>
                    </v:shape>
                  </w:pict>
                </mc:Fallback>
              </mc:AlternateContent>
            </w:r>
            <w:r/>
          </w:p>
        </w:tc>
        <w:tc>
          <w:tcPr>
            <w:tcW w:w="6831" w:type="dxa"/>
            <w:textDirection w:val="lrTb"/>
            <w:noWrap w:val="false"/>
          </w:tcPr>
          <w:p>
            <w:pPr>
              <w:pStyle w:val="1316"/>
            </w:pPr>
            <w:r>
              <w:t xml:space="preserve">Поиск данных на интерфейсе</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266700" cy="257175"/>
                      <wp:effectExtent l="19050" t="19050" r="19050" b="28575"/>
                      <wp:docPr id="85" name="Рисунок 21"/>
                      <wp:cNvGraphicFramePr/>
                      <a:graphic xmlns:a="http://schemas.openxmlformats.org/drawingml/2006/main">
                        <a:graphicData uri="http://schemas.openxmlformats.org/drawingml/2006/picture">
                          <pic:pic xmlns:pic="http://schemas.openxmlformats.org/drawingml/2006/picture">
                            <pic:nvPicPr>
                              <pic:cNvPr id="970" name="Рисунок 21"/>
                              <pic:cNvPicPr/>
                              <pic:nvPr/>
                            </pic:nvPicPr>
                            <pic:blipFill>
                              <a:blip r:embed="rId97"/>
                              <a:stretch/>
                            </pic:blipFill>
                            <pic:spPr bwMode="auto">
                              <a:xfrm>
                                <a:off x="0" y="0"/>
                                <a:ext cx="266700" cy="257175"/>
                              </a:xfrm>
                              <a:prstGeom prst="rect">
                                <a:avLst/>
                              </a:prstGeom>
                              <a:noFill/>
                              <a:ln w="6350" cmpd="sng">
                                <a:solidFill>
                                  <a:srgbClr val="000000"/>
                                </a:solidFill>
                                <a:miter lim="800000"/>
                                <a:headEnd/>
                                <a:tailEnd/>
                              </a:ln>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4" o:spid="_x0000_s84" type="#_x0000_t75" style="width:21.00pt;height:20.25pt;mso-wrap-distance-left:0.00pt;mso-wrap-distance-top:0.00pt;mso-wrap-distance-right:0.00pt;mso-wrap-distance-bottom:0.00pt;" strokecolor="#000000" strokeweight="0.50pt">
                      <v:path textboxrect="0,0,0,0"/>
                      <v:imagedata r:id="rId97" o:title=""/>
                    </v:shape>
                  </w:pict>
                </mc:Fallback>
              </mc:AlternateContent>
            </w:r>
            <w:r/>
          </w:p>
        </w:tc>
        <w:tc>
          <w:tcPr>
            <w:tcW w:w="6831" w:type="dxa"/>
            <w:textDirection w:val="lrTb"/>
            <w:noWrap w:val="false"/>
          </w:tcPr>
          <w:p>
            <w:pPr>
              <w:pStyle w:val="1316"/>
            </w:pPr>
            <w:r>
              <w:t xml:space="preserve">Поменять направление сортировки данных на интерфейсе</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513715" cy="323215"/>
                      <wp:effectExtent l="0" t="0" r="635" b="635"/>
                      <wp:docPr id="86" name="Рисунок 57"/>
                      <wp:cNvGraphicFramePr/>
                      <a:graphic xmlns:a="http://schemas.openxmlformats.org/drawingml/2006/main">
                        <a:graphicData uri="http://schemas.openxmlformats.org/drawingml/2006/picture">
                          <pic:pic xmlns:pic="http://schemas.openxmlformats.org/drawingml/2006/picture">
                            <pic:nvPicPr>
                              <pic:cNvPr id="971" name="Рисунок 971"/>
                              <pic:cNvPicPr/>
                              <pic:nvPr/>
                            </pic:nvPicPr>
                            <pic:blipFill>
                              <a:blip r:embed="rId98"/>
                              <a:stretch/>
                            </pic:blipFill>
                            <pic:spPr bwMode="auto">
                              <a:xfrm>
                                <a:off x="0" y="0"/>
                                <a:ext cx="513715" cy="3232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5" o:spid="_x0000_s85" type="#_x0000_t75" style="width:40.45pt;height:25.45pt;mso-wrap-distance-left:0.00pt;mso-wrap-distance-top:0.00pt;mso-wrap-distance-right:0.00pt;mso-wrap-distance-bottom:0.00pt;" stroked="false">
                      <v:path textboxrect="0,0,0,0"/>
                      <v:imagedata r:id="rId98" o:title=""/>
                    </v:shape>
                  </w:pict>
                </mc:Fallback>
              </mc:AlternateContent>
            </w:r>
            <w:r/>
          </w:p>
        </w:tc>
        <w:tc>
          <w:tcPr>
            <w:tcW w:w="6831" w:type="dxa"/>
            <w:textDirection w:val="lrTb"/>
            <w:noWrap w:val="false"/>
          </w:tcPr>
          <w:p>
            <w:pPr>
              <w:pStyle w:val="1316"/>
            </w:pPr>
            <w:r>
              <w:t xml:space="preserve">Настройки списковой формы</w:t>
            </w:r>
            <w:r/>
          </w:p>
        </w:tc>
      </w:tr>
      <w:tr>
        <w:tblPrEx/>
        <w:trPr>
          <w:trHeight w:val="454"/>
        </w:trPr>
        <w:tc>
          <w:tcPr>
            <w:tcW w:w="2863" w:type="dxa"/>
            <w:textDirection w:val="lrTb"/>
            <w:noWrap w:val="false"/>
          </w:tcPr>
          <w:p>
            <w:pPr>
              <w:pStyle w:val="1316"/>
              <w:jc w:val="center"/>
            </w:pPr>
            <w:r>
              <w:object w:dxaOrig="2730" w:dyaOrig="405">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6" o:spid="_x0000_s86" type="#_x0000_t75" style="width:139.50pt;height:23.25pt;mso-wrap-distance-left:0.00pt;mso-wrap-distance-top:0.00pt;mso-wrap-distance-right:0.00pt;mso-wrap-distance-bottom:0.00pt;" filled="f" stroked="f">
                  <v:path textboxrect="0,0,0,0"/>
                  <v:imagedata r:id="rId99" o:title=""/>
                </v:shape>
                <o:OLEObject DrawAspect="Content" r:id="rId100" ObjectID="_15250486" ProgID="PBrush" ShapeID="_x0000_i86" Type="Embed"/>
              </w:object>
            </w:r>
            <w:r/>
          </w:p>
        </w:tc>
        <w:tc>
          <w:tcPr>
            <w:tcW w:w="6831" w:type="dxa"/>
            <w:textDirection w:val="lrTb"/>
            <w:noWrap w:val="false"/>
          </w:tcPr>
          <w:p>
            <w:pPr>
              <w:pStyle w:val="1316"/>
            </w:pPr>
            <w:r>
              <w:t xml:space="preserve">Пользовательский фильтр – вызывает окно для задания параметров поиска по документам</w:t>
            </w:r>
            <w:r/>
          </w:p>
        </w:tc>
      </w:tr>
      <w:tr>
        <w:tblPrEx/>
        <w:trPr>
          <w:trHeight w:val="454"/>
        </w:trPr>
        <w:tc>
          <w:tcPr>
            <w:tcW w:w="2863" w:type="dxa"/>
            <w:textDirection w:val="lrTb"/>
            <w:noWrap w:val="false"/>
          </w:tcPr>
          <w:p>
            <w:pPr>
              <w:pStyle w:val="1316"/>
              <w:jc w:val="center"/>
            </w:pPr>
            <w:r>
              <mc:AlternateContent>
                <mc:Choice Requires="wpg">
                  <w:drawing>
                    <wp:inline xmlns:wp="http://schemas.openxmlformats.org/drawingml/2006/wordprocessingDrawing" distT="0" distB="0" distL="0" distR="0">
                      <wp:extent cx="266065" cy="276225"/>
                      <wp:effectExtent l="19050" t="19050" r="19685" b="28575"/>
                      <wp:docPr id="8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pic:cNvPicPr>
                              <pic:nvPr/>
                            </pic:nvPicPr>
                            <pic:blipFill>
                              <a:blip r:embed="rId101">
                                <a:extLst>
                                  <a:ext uri="{96DAC541-7B7A-43D3-8B79-37D633B846F1}">
                                    <asvg:svgBlip xmlns:asvg="http://schemas.microsoft.com/office/drawing/2016/SVG/main" r:embed="rId102"/>
                                  </a:ext>
                                </a:extLst>
                              </a:blip>
                              <a:stretch/>
                            </pic:blipFill>
                            <pic:spPr bwMode="auto">
                              <a:xfrm>
                                <a:off x="0" y="0"/>
                                <a:ext cx="266065" cy="276225"/>
                              </a:xfrm>
                              <a:prstGeom prst="rect">
                                <a:avLst/>
                              </a:prstGeom>
                              <a:noFill/>
                              <a:ln w="6350" cmpd="sng">
                                <a:solidFill>
                                  <a:srgbClr val="000000"/>
                                </a:solidFill>
                                <a:miter lim="800000"/>
                                <a:headEnd/>
                                <a:tailEnd/>
                              </a:ln>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7" o:spid="_x0000_s87" type="#_x0000_t75" style="width:20.95pt;height:21.75pt;mso-wrap-distance-left:0.00pt;mso-wrap-distance-top:0.00pt;mso-wrap-distance-right:0.00pt;mso-wrap-distance-bottom:0.00pt;" strokecolor="#000000" strokeweight="0.50pt">
                      <v:path textboxrect="0,0,0,0"/>
                      <v:imagedata r:id="rId101" o:title=""/>
                    </v:shape>
                  </w:pict>
                </mc:Fallback>
              </mc:AlternateContent>
            </w:r>
            <w:r/>
          </w:p>
        </w:tc>
        <w:tc>
          <w:tcPr>
            <w:tcW w:w="6831" w:type="dxa"/>
            <w:textDirection w:val="lrTb"/>
            <w:noWrap w:val="false"/>
          </w:tcPr>
          <w:p>
            <w:pPr>
              <w:pStyle w:val="1316"/>
            </w:pPr>
            <w:r>
              <w:t xml:space="preserve">Настройки клиента</w:t>
            </w:r>
            <w:r/>
          </w:p>
        </w:tc>
      </w:tr>
    </w:tbl>
    <w:p>
      <w:pPr>
        <w:pStyle w:val="1282"/>
      </w:pPr>
      <w:r/>
      <w:bookmarkStart w:id="572" w:name="_Toc391394941"/>
      <w:r/>
      <w:bookmarkStart w:id="573" w:name="_Toc391394987"/>
      <w:r/>
      <w:bookmarkStart w:id="574" w:name="_Toc391395033"/>
      <w:r/>
      <w:bookmarkStart w:id="575" w:name="_Toc391395332"/>
      <w:r/>
      <w:bookmarkStart w:id="576" w:name="_Toc391395034"/>
      <w:r/>
      <w:bookmarkStart w:id="577" w:name="_Toc429138193"/>
      <w:r/>
      <w:bookmarkStart w:id="578" w:name="_Toc429139191"/>
      <w:r/>
      <w:bookmarkStart w:id="579" w:name="_Toc478574648"/>
      <w:r/>
      <w:bookmarkStart w:id="580" w:name="_Toc489894262"/>
      <w:r/>
      <w:bookmarkStart w:id="581" w:name="_Toc221869931"/>
      <w:r/>
      <w:bookmarkEnd w:id="572"/>
      <w:r/>
      <w:bookmarkEnd w:id="573"/>
      <w:r/>
      <w:bookmarkEnd w:id="574"/>
      <w:r/>
      <w:bookmarkEnd w:id="575"/>
      <w:r>
        <w:t xml:space="preserve">Списковая форма</w:t>
      </w:r>
      <w:bookmarkEnd w:id="576"/>
      <w:r/>
      <w:bookmarkEnd w:id="577"/>
      <w:r/>
      <w:bookmarkEnd w:id="578"/>
      <w:r/>
      <w:bookmarkEnd w:id="579"/>
      <w:r/>
      <w:bookmarkEnd w:id="580"/>
      <w:r/>
      <w:bookmarkEnd w:id="581"/>
      <w:r/>
      <w:r/>
    </w:p>
    <w:p>
      <w:pPr>
        <w:pStyle w:val="1305"/>
      </w:pPr>
      <w:r>
        <w:t xml:space="preserve">Списковая форма (форма справочника, форма реестра) содержит перечень экземпляров формуляров (электронных документов), сформированных пользователем. Набор полей спи</w:t>
      </w:r>
      <w:r>
        <w:t xml:space="preserve">сочной формы зависит от атрибутов формируемых документов и может быть различным в зависимости от выбранного формуляра.</w:t>
      </w:r>
      <w:r/>
    </w:p>
    <w:p>
      <w:pPr>
        <w:pStyle w:val="1305"/>
      </w:pPr>
      <w:r>
        <w:t xml:space="preserve">Списковая форма имеет пользовательские фильтры, с помощью которых можно отсортировать записи по атрибутам (рис. </w:t>
      </w:r>
      <w:r>
        <w:fldChar w:fldCharType="begin"/>
      </w:r>
      <w:r>
        <w:instrText xml:space="preserve"> REF _Ref530306913 \h </w:instrText>
      </w:r>
      <w:r>
        <w:instrText xml:space="preserve"> \* MERGEFORMAT </w:instrText>
      </w:r>
      <w:r>
        <w:fldChar w:fldCharType="separate"/>
      </w:r>
      <w:r>
        <w:t xml:space="preserve">38</w:t>
      </w:r>
      <w:r>
        <w:fldChar w:fldCharType="end"/>
      </w:r>
      <w:r>
        <w:t xml:space="preserve">). </w:t>
      </w:r>
      <w:r/>
    </w:p>
    <w:p>
      <w:pPr>
        <w:pStyle w:val="1293"/>
      </w:pPr>
      <w:r>
        <mc:AlternateContent>
          <mc:Choice Requires="wpg">
            <w:drawing>
              <wp:inline xmlns:wp="http://schemas.openxmlformats.org/drawingml/2006/wordprocessingDrawing" distT="0" distB="0" distL="0" distR="0">
                <wp:extent cx="1590675" cy="962025"/>
                <wp:effectExtent l="0" t="0" r="9525" b="9525"/>
                <wp:docPr id="89"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r/>
                      </pic:nvPicPr>
                      <pic:blipFill>
                        <a:blip r:embed="rId103"/>
                        <a:stretch/>
                      </pic:blipFill>
                      <pic:spPr bwMode="auto">
                        <a:xfrm>
                          <a:off x="0" y="0"/>
                          <a:ext cx="1590675" cy="9620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8" o:spid="_x0000_s88" type="#_x0000_t75" style="width:125.25pt;height:75.75pt;mso-wrap-distance-left:0.00pt;mso-wrap-distance-top:0.00pt;mso-wrap-distance-right:0.00pt;mso-wrap-distance-bottom:0.00pt;" stroked="f">
                <v:path textboxrect="0,0,0,0"/>
                <v:imagedata r:id="rId103" o:title=""/>
              </v:shape>
            </w:pict>
          </mc:Fallback>
        </mc:AlternateContent>
      </w:r>
      <w:r/>
    </w:p>
    <w:p>
      <w:pPr>
        <w:pStyle w:val="1294"/>
      </w:pPr>
      <w:r/>
      <w:bookmarkStart w:id="582" w:name="_Toc523326996"/>
      <w:r/>
      <w:bookmarkStart w:id="583" w:name="_Toc523335153"/>
      <w:r>
        <w:fldChar w:fldCharType="begin"/>
      </w:r>
      <w:r>
        <w:instrText xml:space="preserve"> SEQ Рисунок \* ARABIC </w:instrText>
      </w:r>
      <w:r>
        <w:fldChar w:fldCharType="separate"/>
      </w:r>
      <w:bookmarkStart w:id="584" w:name="_Ref530306913"/>
      <w:r/>
      <w:bookmarkStart w:id="585" w:name="_Toc163797854"/>
      <w:r/>
      <w:bookmarkStart w:id="586" w:name="_Toc221869990"/>
      <w:r>
        <w:t xml:space="preserve">38</w:t>
      </w:r>
      <w:bookmarkEnd w:id="584"/>
      <w:r>
        <w:fldChar w:fldCharType="end"/>
      </w:r>
      <w:r>
        <w:t xml:space="preserve">. Пользовательские фильтры</w:t>
      </w:r>
      <w:bookmarkEnd w:id="582"/>
      <w:r/>
      <w:bookmarkEnd w:id="583"/>
      <w:r/>
      <w:bookmarkEnd w:id="585"/>
      <w:r/>
      <w:bookmarkEnd w:id="586"/>
      <w:r/>
      <w:r/>
    </w:p>
    <w:p>
      <w:pPr>
        <w:pStyle w:val="1305"/>
      </w:pPr>
      <w:r>
        <w:t xml:space="preserve">Для фильтрации списковой формы необходимо ввести значение атрибута в необходимое поле (отмечены фиолетовым на рисунке </w:t>
      </w:r>
      <w:r>
        <w:fldChar w:fldCharType="begin"/>
      </w:r>
      <w:r>
        <w:instrText xml:space="preserve"> REF _Ref530306913 \h </w:instrText>
      </w:r>
      <w:r>
        <w:instrText xml:space="preserve"> \* MERGEFORMAT </w:instrText>
      </w:r>
      <w:r>
        <w:fldChar w:fldCharType="separate"/>
      </w:r>
      <w:r>
        <w:t xml:space="preserve">38</w:t>
      </w:r>
      <w:r>
        <w:fldChar w:fldCharType="end"/>
      </w:r>
      <w:r>
        <w:t xml:space="preserve">). Для пользовательских фильтров присутствует возможность выбора типа соответствия. Для выбора необходимо нажать правой кнопкой мыши на поле ввода значения фильтра (по умолчанию выбрано «равно») (рис. </w:t>
      </w:r>
      <w:r>
        <w:fldChar w:fldCharType="begin"/>
      </w:r>
      <w:r>
        <w:instrText xml:space="preserve"> REF _Ref530306999 \h </w:instrText>
      </w:r>
      <w:r>
        <w:instrText xml:space="preserve"> \* MERGEFORMAT </w:instrText>
      </w:r>
      <w:r>
        <w:fldChar w:fldCharType="separate"/>
      </w:r>
      <w:r>
        <w:t xml:space="preserve">39</w:t>
      </w:r>
      <w:r>
        <w:fldChar w:fldCharType="end"/>
      </w:r>
      <w:r>
        <w:t xml:space="preserve">).</w:t>
      </w:r>
      <w:r/>
    </w:p>
    <w:p>
      <w:pPr>
        <w:pStyle w:val="1293"/>
      </w:pPr>
      <w:r>
        <mc:AlternateContent>
          <mc:Choice Requires="wpg">
            <w:drawing>
              <wp:inline xmlns:wp="http://schemas.openxmlformats.org/drawingml/2006/wordprocessingDrawing" distT="0" distB="0" distL="0" distR="0">
                <wp:extent cx="2291862" cy="1943100"/>
                <wp:effectExtent l="0" t="0" r="0" b="0"/>
                <wp:docPr id="9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pic:cNvPicPr>
                        <pic:nvPr/>
                      </pic:nvPicPr>
                      <pic:blipFill>
                        <a:blip r:embed="rId104"/>
                        <a:stretch/>
                      </pic:blipFill>
                      <pic:spPr bwMode="auto">
                        <a:xfrm>
                          <a:off x="0" y="0"/>
                          <a:ext cx="2291862" cy="19431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9" o:spid="_x0000_s89" type="#_x0000_t75" style="width:180.46pt;height:153.00pt;mso-wrap-distance-left:0.00pt;mso-wrap-distance-top:0.00pt;mso-wrap-distance-right:0.00pt;mso-wrap-distance-bottom:0.00pt;" stroked="f">
                <v:path textboxrect="0,0,0,0"/>
                <v:imagedata r:id="rId104" o:title=""/>
              </v:shape>
            </w:pict>
          </mc:Fallback>
        </mc:AlternateContent>
      </w:r>
      <w:r/>
    </w:p>
    <w:p>
      <w:pPr>
        <w:pStyle w:val="1294"/>
      </w:pPr>
      <w:r/>
      <w:bookmarkStart w:id="587" w:name="_Toc523326997"/>
      <w:r/>
      <w:bookmarkStart w:id="588" w:name="_Toc523335154"/>
      <w:r>
        <w:fldChar w:fldCharType="begin"/>
      </w:r>
      <w:r>
        <w:instrText xml:space="preserve"> SEQ Рисунок \* ARABIC </w:instrText>
      </w:r>
      <w:r>
        <w:fldChar w:fldCharType="separate"/>
      </w:r>
      <w:bookmarkStart w:id="589" w:name="_Ref530306999"/>
      <w:r/>
      <w:bookmarkStart w:id="590" w:name="_Toc163797855"/>
      <w:r/>
      <w:bookmarkStart w:id="591" w:name="_Toc221869991"/>
      <w:r>
        <w:t xml:space="preserve">39</w:t>
      </w:r>
      <w:bookmarkEnd w:id="589"/>
      <w:r>
        <w:fldChar w:fldCharType="end"/>
      </w:r>
      <w:r>
        <w:t xml:space="preserve">. Выбор соответствия для фильтра</w:t>
      </w:r>
      <w:bookmarkEnd w:id="587"/>
      <w:r/>
      <w:bookmarkEnd w:id="588"/>
      <w:r/>
      <w:bookmarkEnd w:id="590"/>
      <w:r/>
      <w:bookmarkEnd w:id="591"/>
      <w:r/>
      <w:r/>
    </w:p>
    <w:p>
      <w:pPr>
        <w:pStyle w:val="1305"/>
      </w:pPr>
      <w:r>
        <w:t xml:space="preserve">В пользовательском фильтре на дату необходимо задавать время (рис. </w:t>
      </w:r>
      <w:r>
        <w:fldChar w:fldCharType="begin"/>
      </w:r>
      <w:r>
        <w:instrText xml:space="preserve"> REF _Ref530307050 \h </w:instrText>
      </w:r>
      <w:r>
        <w:instrText xml:space="preserve"> \* MERGEFORMAT </w:instrText>
      </w:r>
      <w:r>
        <w:fldChar w:fldCharType="separate"/>
      </w:r>
      <w:r>
        <w:t xml:space="preserve">40</w:t>
      </w:r>
      <w:r>
        <w:fldChar w:fldCharType="end"/>
      </w:r>
      <w:r>
        <w:t xml:space="preserve">). При использовании данного фильтра рекомендуется выбирать тип соответствия «больше» или «больше или равно».</w:t>
      </w:r>
      <w:r/>
    </w:p>
    <w:p>
      <w:pPr>
        <w:pStyle w:val="1293"/>
      </w:pPr>
      <w:r>
        <mc:AlternateContent>
          <mc:Choice Requires="wpg">
            <w:drawing>
              <wp:inline xmlns:wp="http://schemas.openxmlformats.org/drawingml/2006/wordprocessingDrawing" distT="0" distB="0" distL="0" distR="0">
                <wp:extent cx="2181225" cy="2373440"/>
                <wp:effectExtent l="0" t="0" r="0" b="8255"/>
                <wp:docPr id="91"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105"/>
                        <a:stretch/>
                      </pic:blipFill>
                      <pic:spPr bwMode="auto">
                        <a:xfrm>
                          <a:off x="0" y="0"/>
                          <a:ext cx="2181225" cy="23734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0" o:spid="_x0000_s90" type="#_x0000_t75" style="width:171.75pt;height:186.89pt;mso-wrap-distance-left:0.00pt;mso-wrap-distance-top:0.00pt;mso-wrap-distance-right:0.00pt;mso-wrap-distance-bottom:0.00pt;" stroked="false">
                <v:path textboxrect="0,0,0,0"/>
                <v:imagedata r:id="rId105" o:title=""/>
              </v:shape>
            </w:pict>
          </mc:Fallback>
        </mc:AlternateContent>
      </w:r>
      <w:r/>
    </w:p>
    <w:p>
      <w:pPr>
        <w:pStyle w:val="1294"/>
      </w:pPr>
      <w:r/>
      <w:bookmarkStart w:id="592" w:name="_Toc523326998"/>
      <w:r/>
      <w:bookmarkStart w:id="593" w:name="_Toc523335155"/>
      <w:r>
        <w:fldChar w:fldCharType="begin"/>
      </w:r>
      <w:r>
        <w:instrText xml:space="preserve"> SEQ Рисунок \* ARABIC </w:instrText>
      </w:r>
      <w:r>
        <w:fldChar w:fldCharType="separate"/>
      </w:r>
      <w:bookmarkStart w:id="594" w:name="_Ref530307050"/>
      <w:r/>
      <w:bookmarkStart w:id="595" w:name="_Toc163797856"/>
      <w:r/>
      <w:bookmarkStart w:id="596" w:name="_Toc221869992"/>
      <w:r>
        <w:t xml:space="preserve">40</w:t>
      </w:r>
      <w:bookmarkEnd w:id="594"/>
      <w:r>
        <w:fldChar w:fldCharType="end"/>
      </w:r>
      <w:r>
        <w:t xml:space="preserve">. Фильтр с форматом дата</w:t>
      </w:r>
      <w:bookmarkEnd w:id="592"/>
      <w:r/>
      <w:bookmarkEnd w:id="593"/>
      <w:r/>
      <w:bookmarkEnd w:id="595"/>
      <w:r/>
      <w:bookmarkEnd w:id="596"/>
      <w:r/>
      <w:r/>
    </w:p>
    <w:p>
      <w:pPr>
        <w:pStyle w:val="1305"/>
      </w:pPr>
      <w:r>
        <w:t xml:space="preserve">Для отображения общего числа записей в списковой форме справочников для ядра версии 8.21.</w:t>
      </w:r>
      <w:r>
        <w:t xml:space="preserve">%</w:t>
      </w:r>
      <w:r>
        <w:t xml:space="preserve"> и выше необходимо активировать функцию «Вычислить общий размер скроллера». Для её включения необходимо перейти в любой справочник, открыть настройки списковой формы </w:t>
      </w:r>
      <w:r>
        <mc:AlternateContent>
          <mc:Choice Requires="wpg">
            <w:drawing>
              <wp:inline xmlns:wp="http://schemas.openxmlformats.org/drawingml/2006/wordprocessingDrawing" distT="0" distB="0" distL="0" distR="0">
                <wp:extent cx="395021" cy="229053"/>
                <wp:effectExtent l="0" t="0" r="5080" b="0"/>
                <wp:docPr id="9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106"/>
                        <a:stretch/>
                      </pic:blipFill>
                      <pic:spPr bwMode="auto">
                        <a:xfrm>
                          <a:off x="0" y="0"/>
                          <a:ext cx="394970" cy="22902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1" o:spid="_x0000_s91" type="#_x0000_t75" style="width:31.10pt;height:18.04pt;mso-wrap-distance-left:0.00pt;mso-wrap-distance-top:0.00pt;mso-wrap-distance-right:0.00pt;mso-wrap-distance-bottom:0.00pt;" stroked="f">
                <v:path textboxrect="0,0,0,0"/>
                <v:imagedata r:id="rId106" o:title=""/>
              </v:shape>
            </w:pict>
          </mc:Fallback>
        </mc:AlternateContent>
      </w:r>
      <w:r>
        <w:t xml:space="preserve">,</w:t>
      </w:r>
      <w:r>
        <w:t xml:space="preserve"> </w:t>
      </w:r>
      <w:r>
        <w:t xml:space="preserve">выбрать пункт «настройки клиента», во вкладке «список документов» отметить соответствующую настройку (рис. </w:t>
      </w:r>
      <w:r>
        <w:fldChar w:fldCharType="begin"/>
      </w:r>
      <w:r>
        <w:instrText xml:space="preserve"> REF _Ref530307237 \h </w:instrText>
      </w:r>
      <w:r>
        <w:instrText xml:space="preserve"> \* MERGEFORMAT </w:instrText>
      </w:r>
      <w:r>
        <w:fldChar w:fldCharType="separate"/>
      </w:r>
      <w:r>
        <w:t xml:space="preserve">41</w:t>
      </w:r>
      <w:r>
        <w:fldChar w:fldCharType="end"/>
      </w:r>
      <w:r>
        <w:t xml:space="preserve">).</w:t>
      </w:r>
      <w:r/>
    </w:p>
    <w:p>
      <w:pPr>
        <w:pStyle w:val="1293"/>
      </w:pPr>
      <w:r>
        <mc:AlternateContent>
          <mc:Choice Requires="wpg">
            <w:drawing>
              <wp:inline xmlns:wp="http://schemas.openxmlformats.org/drawingml/2006/wordprocessingDrawing" distT="0" distB="0" distL="0" distR="0">
                <wp:extent cx="5638800" cy="1323975"/>
                <wp:effectExtent l="19050" t="0" r="0" b="0"/>
                <wp:docPr id="9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107"/>
                        <a:stretch/>
                      </pic:blipFill>
                      <pic:spPr bwMode="auto">
                        <a:xfrm>
                          <a:off x="0" y="0"/>
                          <a:ext cx="5638800" cy="132397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2" o:spid="_x0000_s92" type="#_x0000_t75" style="width:444.00pt;height:104.25pt;mso-wrap-distance-left:0.00pt;mso-wrap-distance-top:0.00pt;mso-wrap-distance-right:0.00pt;mso-wrap-distance-bottom:0.00pt;" stroked="false">
                <v:path textboxrect="0,0,0,0"/>
                <v:imagedata r:id="rId107" o:title=""/>
              </v:shape>
            </w:pict>
          </mc:Fallback>
        </mc:AlternateContent>
      </w:r>
      <w:r/>
    </w:p>
    <w:p>
      <w:pPr>
        <w:pStyle w:val="1294"/>
      </w:pPr>
      <w:r>
        <w:fldChar w:fldCharType="begin"/>
      </w:r>
      <w:r>
        <w:instrText xml:space="preserve"> SEQ Рисунок \* ARABIC </w:instrText>
      </w:r>
      <w:r>
        <w:fldChar w:fldCharType="separate"/>
      </w:r>
      <w:bookmarkStart w:id="597" w:name="_Ref530307237"/>
      <w:r/>
      <w:bookmarkStart w:id="598" w:name="_Toc163797857"/>
      <w:r/>
      <w:bookmarkStart w:id="599" w:name="_Toc221869993"/>
      <w:r>
        <w:t xml:space="preserve">41</w:t>
      </w:r>
      <w:bookmarkEnd w:id="597"/>
      <w:r>
        <w:fldChar w:fldCharType="end"/>
      </w:r>
      <w:r>
        <w:t xml:space="preserve">. Активация функции «Вычислить общий размер скроллера»</w:t>
      </w:r>
      <w:bookmarkEnd w:id="598"/>
      <w:r/>
      <w:bookmarkEnd w:id="599"/>
      <w:r/>
      <w:r/>
    </w:p>
    <w:p>
      <w:pPr>
        <w:pStyle w:val="1282"/>
      </w:pPr>
      <w:r/>
      <w:bookmarkStart w:id="600" w:name="_Toc465092188"/>
      <w:r/>
      <w:bookmarkStart w:id="601" w:name="_Toc472978231"/>
      <w:r/>
      <w:bookmarkStart w:id="602" w:name="_Toc478574649"/>
      <w:r/>
      <w:bookmarkStart w:id="603" w:name="_Toc489894263"/>
      <w:r/>
      <w:bookmarkStart w:id="604" w:name="_Toc221869932"/>
      <w:r>
        <w:t xml:space="preserve">Форма документа</w:t>
      </w:r>
      <w:bookmarkEnd w:id="600"/>
      <w:r/>
      <w:bookmarkEnd w:id="601"/>
      <w:r/>
      <w:bookmarkEnd w:id="602"/>
      <w:r/>
      <w:bookmarkEnd w:id="603"/>
      <w:r/>
      <w:bookmarkEnd w:id="604"/>
      <w:r/>
      <w:r/>
    </w:p>
    <w:p>
      <w:pPr>
        <w:pStyle w:val="1305"/>
      </w:pPr>
      <w:r>
        <w:t xml:space="preserve">Форма документа имеет в правом верхнем углу стандартную панель, общую для всех новых документов, создаваемых или редактируемых вручную (рис. </w:t>
      </w:r>
      <w:r>
        <w:fldChar w:fldCharType="begin"/>
      </w:r>
      <w:r>
        <w:instrText xml:space="preserve"> REF _Ref530307319 \h </w:instrText>
      </w:r>
      <w:r>
        <w:instrText xml:space="preserve"> \* MERGEFORMAT </w:instrText>
      </w:r>
      <w:r>
        <w:fldChar w:fldCharType="separate"/>
      </w:r>
      <w:r>
        <w:rPr>
          <w:rStyle w:val="1391"/>
          <w:b w:val="0"/>
        </w:rPr>
        <w:t xml:space="preserve">42</w:t>
      </w:r>
      <w:r>
        <w:fldChar w:fldCharType="end"/>
      </w:r>
      <w:r>
        <w:t xml:space="preserve">).</w:t>
      </w:r>
      <w:r/>
    </w:p>
    <w:p>
      <w:pPr>
        <w:pStyle w:val="1293"/>
      </w:pPr>
      <w:r>
        <mc:AlternateContent>
          <mc:Choice Requires="wpg">
            <w:drawing>
              <wp:inline xmlns:wp="http://schemas.openxmlformats.org/drawingml/2006/wordprocessingDrawing" distT="0" distB="0" distL="0" distR="0">
                <wp:extent cx="5952001" cy="816000"/>
                <wp:effectExtent l="19050" t="19050" r="10649" b="22200"/>
                <wp:docPr id="9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r/>
                      </pic:nvPicPr>
                      <pic:blipFill>
                        <a:blip r:embed="rId108"/>
                        <a:stretch/>
                      </pic:blipFill>
                      <pic:spPr bwMode="auto">
                        <a:xfrm>
                          <a:off x="0" y="0"/>
                          <a:ext cx="5952001" cy="816000"/>
                        </a:xfrm>
                        <a:prstGeom prst="rect">
                          <a:avLst/>
                        </a:prstGeom>
                        <a:noFill/>
                        <a:ln w="6350" cmpd="sng">
                          <a:solidFill>
                            <a:srgbClr val="000000"/>
                          </a:solidFill>
                          <a:miter lim="800000"/>
                          <a:headEnd/>
                          <a:tailEnd/>
                        </a:ln>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3" o:spid="_x0000_s93" type="#_x0000_t75" style="width:468.66pt;height:64.25pt;mso-wrap-distance-left:0.00pt;mso-wrap-distance-top:0.00pt;mso-wrap-distance-right:0.00pt;mso-wrap-distance-bottom:0.00pt;" strokecolor="#000000" strokeweight="0.50pt">
                <v:path textboxrect="0,0,0,0"/>
                <v:imagedata r:id="rId108" o:title=""/>
              </v:shape>
            </w:pict>
          </mc:Fallback>
        </mc:AlternateContent>
      </w:r>
      <w:r/>
    </w:p>
    <w:p>
      <w:pPr>
        <w:pStyle w:val="1294"/>
      </w:pPr>
      <w:r/>
      <w:bookmarkStart w:id="605" w:name="_Ref473824289"/>
      <w:r/>
      <w:bookmarkStart w:id="606" w:name="_Toc523326999"/>
      <w:r/>
      <w:bookmarkStart w:id="607" w:name="_Toc523335156"/>
      <w:r>
        <w:rPr>
          <w:rStyle w:val="1391"/>
          <w:b/>
        </w:rPr>
        <w:fldChar w:fldCharType="begin"/>
      </w:r>
      <w:r>
        <w:rPr>
          <w:rStyle w:val="1391"/>
          <w:b/>
        </w:rPr>
        <w:instrText xml:space="preserve"> SEQ Рисунок \* ARABIC </w:instrText>
      </w:r>
      <w:r>
        <w:rPr>
          <w:rStyle w:val="1391"/>
          <w:b/>
        </w:rPr>
        <w:fldChar w:fldCharType="separate"/>
      </w:r>
      <w:bookmarkStart w:id="608" w:name="_Ref530307319"/>
      <w:r/>
      <w:bookmarkStart w:id="609" w:name="_Toc163797858"/>
      <w:r/>
      <w:bookmarkStart w:id="610" w:name="_Toc221869994"/>
      <w:r>
        <w:rPr>
          <w:rStyle w:val="1391"/>
          <w:b/>
        </w:rPr>
        <w:t xml:space="preserve">42</w:t>
      </w:r>
      <w:bookmarkEnd w:id="608"/>
      <w:r>
        <w:rPr>
          <w:rStyle w:val="1391"/>
          <w:b/>
        </w:rPr>
        <w:fldChar w:fldCharType="end"/>
      </w:r>
      <w:bookmarkEnd w:id="605"/>
      <w:r>
        <w:t xml:space="preserve">. Стандартная панель</w:t>
      </w:r>
      <w:bookmarkEnd w:id="606"/>
      <w:r/>
      <w:bookmarkEnd w:id="607"/>
      <w:r/>
      <w:bookmarkEnd w:id="609"/>
      <w:r/>
      <w:bookmarkEnd w:id="610"/>
      <w:r/>
      <w:r/>
    </w:p>
    <w:p>
      <w:pPr>
        <w:pStyle w:val="1305"/>
      </w:pPr>
      <w:r>
        <w:t xml:space="preserve">Если требуется промежуточно «Сохранить» данные, нажмите кнопку </w:t>
      </w:r>
      <w:r>
        <mc:AlternateContent>
          <mc:Choice Requires="wpg">
            <w:drawing>
              <wp:inline xmlns:wp="http://schemas.openxmlformats.org/drawingml/2006/wordprocessingDrawing" distT="0" distB="0" distL="0" distR="0">
                <wp:extent cx="876300" cy="257175"/>
                <wp:effectExtent l="19050" t="19050" r="0" b="9525"/>
                <wp:docPr id="9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pic:cNvPicPr>
                        <pic:nvPr/>
                      </pic:nvPicPr>
                      <pic:blipFill>
                        <a:blip r:embed="rId109"/>
                        <a:stretch/>
                      </pic:blipFill>
                      <pic:spPr bwMode="auto">
                        <a:xfrm>
                          <a:off x="0" y="0"/>
                          <a:ext cx="876299" cy="257175"/>
                        </a:xfrm>
                        <a:prstGeom prst="rect">
                          <a:avLst/>
                        </a:prstGeom>
                        <a:noFill/>
                        <a:ln w="6350" cmpd="sng">
                          <a:solidFill>
                            <a:srgbClr val="000000"/>
                          </a:solidFill>
                          <a:miter lim="800000"/>
                          <a:headEnd/>
                          <a:tailEnd/>
                        </a:ln>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4" o:spid="_x0000_s94" type="#_x0000_t75" style="width:69.00pt;height:20.25pt;mso-wrap-distance-left:0.00pt;mso-wrap-distance-top:0.00pt;mso-wrap-distance-right:0.00pt;mso-wrap-distance-bottom:0.00pt;" strokecolor="#000000" strokeweight="0.50pt">
                <v:path textboxrect="0,0,0,0"/>
                <v:imagedata r:id="rId109" o:title=""/>
              </v:shape>
            </w:pict>
          </mc:Fallback>
        </mc:AlternateContent>
      </w:r>
      <w:r>
        <w:t xml:space="preserve"> (Сохранить).</w:t>
      </w:r>
      <w:r/>
    </w:p>
    <w:p>
      <w:pPr>
        <w:pStyle w:val="1305"/>
        <w:rPr>
          <w:b/>
        </w:rPr>
      </w:pPr>
      <w:r>
        <w:t xml:space="preserve">Если все данные сформированы, нажмите кнопку </w:t>
      </w:r>
      <w:r>
        <mc:AlternateContent>
          <mc:Choice Requires="wpg">
            <w:drawing>
              <wp:inline xmlns:wp="http://schemas.openxmlformats.org/drawingml/2006/wordprocessingDrawing" distT="0" distB="0" distL="0" distR="0">
                <wp:extent cx="1400175" cy="238125"/>
                <wp:effectExtent l="19050" t="19050" r="9525" b="9525"/>
                <wp:docPr id="9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pic:cNvPicPr>
                        <pic:nvPr/>
                      </pic:nvPicPr>
                      <pic:blipFill>
                        <a:blip r:embed="rId110"/>
                        <a:stretch/>
                      </pic:blipFill>
                      <pic:spPr bwMode="auto">
                        <a:xfrm>
                          <a:off x="0" y="0"/>
                          <a:ext cx="1400175" cy="238125"/>
                        </a:xfrm>
                        <a:prstGeom prst="rect">
                          <a:avLst/>
                        </a:prstGeom>
                        <a:noFill/>
                        <a:ln w="6350" cmpd="sng">
                          <a:solidFill>
                            <a:srgbClr val="000000"/>
                          </a:solidFill>
                          <a:miter lim="800000"/>
                          <a:headEnd/>
                          <a:tailEnd/>
                        </a:ln>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5" o:spid="_x0000_s95" type="#_x0000_t75" style="width:110.25pt;height:18.75pt;mso-wrap-distance-left:0.00pt;mso-wrap-distance-top:0.00pt;mso-wrap-distance-right:0.00pt;mso-wrap-distance-bottom:0.00pt;" strokecolor="#000000" strokeweight="0.50pt">
                <v:path textboxrect="0,0,0,0"/>
                <v:imagedata r:id="rId110" o:title=""/>
              </v:shape>
            </w:pict>
          </mc:Fallback>
        </mc:AlternateContent>
      </w:r>
      <w:r>
        <w:t xml:space="preserve"> (Сохранить и закрыть).</w:t>
      </w:r>
      <w:r>
        <w:rPr>
          <w:b/>
        </w:rPr>
      </w:r>
    </w:p>
    <w:p>
      <w:pPr>
        <w:pStyle w:val="1305"/>
        <w:rPr>
          <w:b/>
        </w:rPr>
      </w:pPr>
      <w:r>
        <w:t xml:space="preserve">Закрытие формы без сохранения осуществляется при помощи кнопки</w:t>
      </w:r>
      <w:r>
        <w:rPr>
          <w:b/>
        </w:rPr>
        <w:t xml:space="preserve"> </w:t>
      </w:r>
      <w:r>
        <mc:AlternateContent>
          <mc:Choice Requires="wpg">
            <w:drawing>
              <wp:inline xmlns:wp="http://schemas.openxmlformats.org/drawingml/2006/wordprocessingDrawing" distT="0" distB="0" distL="0" distR="0">
                <wp:extent cx="723900" cy="219075"/>
                <wp:effectExtent l="19050" t="19050" r="0" b="9525"/>
                <wp:docPr id="9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pic:cNvPicPr>
                        <pic:nvPr/>
                      </pic:nvPicPr>
                      <pic:blipFill>
                        <a:blip r:embed="rId111"/>
                        <a:stretch/>
                      </pic:blipFill>
                      <pic:spPr bwMode="auto">
                        <a:xfrm>
                          <a:off x="0" y="0"/>
                          <a:ext cx="723900" cy="219074"/>
                        </a:xfrm>
                        <a:prstGeom prst="rect">
                          <a:avLst/>
                        </a:prstGeom>
                        <a:noFill/>
                        <a:ln w="6350" cmpd="sng">
                          <a:solidFill>
                            <a:srgbClr val="000000"/>
                          </a:solidFill>
                          <a:miter lim="800000"/>
                          <a:headEnd/>
                          <a:tailEnd/>
                        </a:ln>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6" o:spid="_x0000_s96" type="#_x0000_t75" style="width:57.00pt;height:17.25pt;mso-wrap-distance-left:0.00pt;mso-wrap-distance-top:0.00pt;mso-wrap-distance-right:0.00pt;mso-wrap-distance-bottom:0.00pt;" strokecolor="#000000" strokeweight="0.50pt">
                <v:path textboxrect="0,0,0,0"/>
                <v:imagedata r:id="rId111" o:title=""/>
              </v:shape>
            </w:pict>
          </mc:Fallback>
        </mc:AlternateContent>
      </w:r>
      <w:r>
        <w:t xml:space="preserve"> (Закрыть).</w:t>
      </w:r>
      <w:r>
        <w:rPr>
          <w:b/>
        </w:rPr>
      </w:r>
    </w:p>
    <w:p>
      <w:pPr>
        <w:pStyle w:val="1305"/>
      </w:pPr>
      <w:r>
        <w:t xml:space="preserve">«Область видимости» определяет доступность документа: «общедоступный», «только владелец», «владелец» и «дочерние организации».</w:t>
      </w:r>
      <w:r/>
    </w:p>
    <w:p>
      <w:pPr>
        <w:pStyle w:val="1305"/>
      </w:pPr>
      <w:r>
        <w:t xml:space="preserve">Для просмотра служебной (системной) информации о документе нажмите кнопку </w:t>
      </w:r>
      <w:r>
        <mc:AlternateContent>
          <mc:Choice Requires="wpg">
            <w:drawing>
              <wp:inline xmlns:wp="http://schemas.openxmlformats.org/drawingml/2006/wordprocessingDrawing" distT="0" distB="0" distL="0" distR="0">
                <wp:extent cx="1028700" cy="285750"/>
                <wp:effectExtent l="19050" t="19050" r="0" b="0"/>
                <wp:docPr id="9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pic:cNvPicPr>
                        <pic:nvPr/>
                      </pic:nvPicPr>
                      <pic:blipFill>
                        <a:blip r:embed="rId112"/>
                        <a:stretch/>
                      </pic:blipFill>
                      <pic:spPr bwMode="auto">
                        <a:xfrm>
                          <a:off x="0" y="0"/>
                          <a:ext cx="1028700" cy="285750"/>
                        </a:xfrm>
                        <a:prstGeom prst="rect">
                          <a:avLst/>
                        </a:prstGeom>
                        <a:noFill/>
                        <a:ln w="6350" cmpd="sng">
                          <a:solidFill>
                            <a:srgbClr val="000000"/>
                          </a:solidFill>
                          <a:miter lim="800000"/>
                          <a:headEnd/>
                          <a:tailEnd/>
                        </a:ln>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7" o:spid="_x0000_s97" type="#_x0000_t75" style="width:81.00pt;height:22.50pt;mso-wrap-distance-left:0.00pt;mso-wrap-distance-top:0.00pt;mso-wrap-distance-right:0.00pt;mso-wrap-distance-bottom:0.00pt;" strokecolor="#000000" strokeweight="0.50pt">
                <v:path textboxrect="0,0,0,0"/>
                <v:imagedata r:id="rId112" o:title=""/>
              </v:shape>
            </w:pict>
          </mc:Fallback>
        </mc:AlternateContent>
      </w:r>
      <w:r>
        <w:t xml:space="preserve"> (Информация). Откроется всплывающее окно со служебной информацией о документе (рис. </w:t>
      </w:r>
      <w:r>
        <w:fldChar w:fldCharType="begin"/>
      </w:r>
      <w:r>
        <w:instrText xml:space="preserve"> REF _Ref472981135 \h  \* MERGEFORMAT </w:instrText>
      </w:r>
      <w:r>
        <w:fldChar w:fldCharType="separate"/>
      </w:r>
      <w:r>
        <w:t xml:space="preserve">43</w:t>
      </w:r>
      <w:r>
        <w:fldChar w:fldCharType="end"/>
      </w:r>
      <w:r>
        <w:t xml:space="preserve">, таблица </w:t>
      </w:r>
      <w:r>
        <w:fldChar w:fldCharType="begin"/>
      </w:r>
      <w:r>
        <w:instrText xml:space="preserve"> REF _Ref484087035 \h  \* MERGEFORMAT </w:instrText>
      </w:r>
      <w:r>
        <w:fldChar w:fldCharType="separate"/>
      </w:r>
      <w:r>
        <w:t xml:space="preserve">10</w:t>
      </w:r>
      <w:r>
        <w:fldChar w:fldCharType="end"/>
      </w:r>
      <w:r>
        <w:t xml:space="preserve">).</w:t>
      </w:r>
      <w:r/>
    </w:p>
    <w:p>
      <w:pPr>
        <w:pStyle w:val="1293"/>
      </w:pPr>
      <w:r>
        <mc:AlternateContent>
          <mc:Choice Requires="wpg">
            <w:drawing>
              <wp:inline xmlns:wp="http://schemas.openxmlformats.org/drawingml/2006/wordprocessingDrawing" distT="0" distB="0" distL="0" distR="0">
                <wp:extent cx="5924550" cy="3371850"/>
                <wp:effectExtent l="19050" t="19050" r="0" b="0"/>
                <wp:docPr id="9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pic:cNvPicPr>
                        <pic:nvPr/>
                      </pic:nvPicPr>
                      <pic:blipFill>
                        <a:blip r:embed="rId113"/>
                        <a:stretch/>
                      </pic:blipFill>
                      <pic:spPr bwMode="auto">
                        <a:xfrm>
                          <a:off x="0" y="0"/>
                          <a:ext cx="5924550" cy="3371850"/>
                        </a:xfrm>
                        <a:prstGeom prst="rect">
                          <a:avLst/>
                        </a:prstGeom>
                        <a:noFill/>
                        <a:ln w="6350" cmpd="sng">
                          <a:solidFill>
                            <a:srgbClr val="000000"/>
                          </a:solidFill>
                          <a:miter lim="800000"/>
                          <a:headEnd/>
                          <a:tailEnd/>
                        </a:ln>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8" o:spid="_x0000_s98" type="#_x0000_t75" style="width:466.50pt;height:265.50pt;mso-wrap-distance-left:0.00pt;mso-wrap-distance-top:0.00pt;mso-wrap-distance-right:0.00pt;mso-wrap-distance-bottom:0.00pt;" strokecolor="#000000" strokeweight="0.50pt">
                <v:path textboxrect="0,0,0,0"/>
                <v:imagedata r:id="rId113" o:title=""/>
              </v:shape>
            </w:pict>
          </mc:Fallback>
        </mc:AlternateContent>
      </w:r>
      <w:r/>
    </w:p>
    <w:p>
      <w:pPr>
        <w:pStyle w:val="1294"/>
      </w:pPr>
      <w:r/>
      <w:bookmarkStart w:id="611" w:name="_Ref472981135"/>
      <w:r/>
      <w:bookmarkStart w:id="612" w:name="_Toc523327000"/>
      <w:r/>
      <w:bookmarkStart w:id="613" w:name="_Toc523335157"/>
      <w:r>
        <w:fldChar w:fldCharType="begin"/>
      </w:r>
      <w:r>
        <w:instrText xml:space="preserve"> SEQ Рисунок \* ARABIC </w:instrText>
      </w:r>
      <w:r>
        <w:fldChar w:fldCharType="separate"/>
      </w:r>
      <w:bookmarkStart w:id="614" w:name="_Toc163797859"/>
      <w:r/>
      <w:bookmarkStart w:id="615" w:name="_Toc221869995"/>
      <w:r>
        <w:t xml:space="preserve">43</w:t>
      </w:r>
      <w:r>
        <w:fldChar w:fldCharType="end"/>
      </w:r>
      <w:bookmarkEnd w:id="611"/>
      <w:r>
        <w:t xml:space="preserve">. Окно «Информация о документе»</w:t>
      </w:r>
      <w:bookmarkEnd w:id="612"/>
      <w:r/>
      <w:bookmarkEnd w:id="613"/>
      <w:r/>
      <w:bookmarkEnd w:id="614"/>
      <w:r/>
      <w:bookmarkEnd w:id="615"/>
      <w:r/>
      <w:r/>
    </w:p>
    <w:p>
      <w:pPr>
        <w:pStyle w:val="1304"/>
        <w:tabs>
          <w:tab w:val="num" w:pos="1701" w:leader="none"/>
        </w:tabs>
      </w:pPr>
      <w:r/>
      <w:bookmarkStart w:id="616" w:name="_Ref484087035"/>
      <w:r/>
      <w:bookmarkStart w:id="617" w:name="_Toc523333728"/>
      <w:r/>
      <w:bookmarkStart w:id="618" w:name="_Toc523335100"/>
      <w:r>
        <w:fldChar w:fldCharType="begin"/>
      </w:r>
      <w:r>
        <w:instrText xml:space="preserve"> SEQ Таблица \* ARABIC </w:instrText>
      </w:r>
      <w:r>
        <w:fldChar w:fldCharType="separate"/>
      </w:r>
      <w:bookmarkStart w:id="619" w:name="_Toc221869951"/>
      <w:r>
        <w:t xml:space="preserve">10</w:t>
      </w:r>
      <w:r>
        <w:fldChar w:fldCharType="end"/>
      </w:r>
      <w:bookmarkEnd w:id="616"/>
      <w:r>
        <w:t xml:space="preserve">. Описание полей формы «Информация о документе»</w:t>
      </w:r>
      <w:bookmarkEnd w:id="617"/>
      <w:r/>
      <w:bookmarkEnd w:id="618"/>
      <w:r/>
      <w:bookmarkEnd w:id="619"/>
      <w:r/>
      <w:r/>
    </w:p>
    <w:tbl>
      <w:tblPr>
        <w:tblStyle w:val="1315"/>
        <w:tblW w:w="5000" w:type="pct"/>
        <w:tblLook w:val="04A0" w:firstRow="1" w:lastRow="0" w:firstColumn="1" w:lastColumn="0" w:noHBand="0" w:noVBand="1"/>
      </w:tblPr>
      <w:tblGrid>
        <w:gridCol w:w="1667"/>
        <w:gridCol w:w="1801"/>
        <w:gridCol w:w="1659"/>
        <w:gridCol w:w="4567"/>
      </w:tblGrid>
      <w:tr>
        <w:tblPrEx/>
        <w:trPr/>
        <w:tc>
          <w:tcPr>
            <w:tcW w:w="860" w:type="pct"/>
            <w:textDirection w:val="lrTb"/>
            <w:noWrap w:val="false"/>
          </w:tcPr>
          <w:p>
            <w:pPr>
              <w:pStyle w:val="1317"/>
            </w:pPr>
            <w:r>
              <w:t xml:space="preserve">Название поля</w:t>
            </w:r>
            <w:r/>
          </w:p>
        </w:tc>
        <w:tc>
          <w:tcPr>
            <w:tcW w:w="1202" w:type="pct"/>
            <w:textDirection w:val="lrTb"/>
            <w:noWrap w:val="false"/>
          </w:tcPr>
          <w:p>
            <w:pPr>
              <w:pStyle w:val="1317"/>
            </w:pPr>
            <w:r>
              <w:t xml:space="preserve">Описание поля</w:t>
            </w:r>
            <w:r/>
          </w:p>
        </w:tc>
        <w:tc>
          <w:tcPr>
            <w:tcW w:w="310" w:type="pct"/>
            <w:textDirection w:val="lrTb"/>
            <w:noWrap w:val="false"/>
          </w:tcPr>
          <w:p>
            <w:pPr>
              <w:pStyle w:val="1317"/>
            </w:pPr>
            <w:r>
              <w:t xml:space="preserve">Обязательность для заполнения</w:t>
            </w:r>
            <w:r/>
          </w:p>
        </w:tc>
        <w:tc>
          <w:tcPr>
            <w:tcW w:w="2628" w:type="pct"/>
            <w:textDirection w:val="lrTb"/>
            <w:noWrap w:val="false"/>
          </w:tcPr>
          <w:p>
            <w:pPr>
              <w:pStyle w:val="1317"/>
            </w:pPr>
            <w:r>
              <w:t xml:space="preserve">Значение</w:t>
            </w:r>
            <w:r/>
          </w:p>
        </w:tc>
      </w:tr>
      <w:tr>
        <w:tblPrEx/>
        <w:trPr/>
        <w:tc>
          <w:tcPr>
            <w:tcW w:w="860" w:type="pct"/>
            <w:textDirection w:val="lrTb"/>
            <w:noWrap w:val="false"/>
          </w:tcPr>
          <w:p>
            <w:pPr>
              <w:pStyle w:val="1316"/>
            </w:pPr>
            <w:r>
              <w:t xml:space="preserve">Статус</w:t>
            </w:r>
            <w:r/>
          </w:p>
        </w:tc>
        <w:tc>
          <w:tcPr>
            <w:tcW w:w="1202" w:type="pct"/>
            <w:textDirection w:val="lrTb"/>
            <w:noWrap w:val="false"/>
          </w:tcPr>
          <w:p>
            <w:pPr>
              <w:pStyle w:val="1316"/>
            </w:pPr>
            <w:r>
              <w:t xml:space="preserve">Текстовое поле</w:t>
            </w:r>
            <w:r/>
          </w:p>
        </w:tc>
        <w:tc>
          <w:tcPr>
            <w:tcW w:w="310" w:type="pct"/>
            <w:textDirection w:val="lrTb"/>
            <w:noWrap w:val="false"/>
          </w:tcPr>
          <w:p>
            <w:pPr>
              <w:pStyle w:val="1316"/>
            </w:pPr>
            <w:r>
              <w:t xml:space="preserve">Да</w:t>
            </w:r>
            <w:r/>
          </w:p>
        </w:tc>
        <w:tc>
          <w:tcPr>
            <w:tcW w:w="2628" w:type="pct"/>
            <w:textDirection w:val="lrTb"/>
            <w:noWrap w:val="false"/>
          </w:tcPr>
          <w:p>
            <w:pPr>
              <w:pStyle w:val="1316"/>
            </w:pPr>
            <w:r>
              <w:t xml:space="preserve">Системное поле заполняется </w:t>
            </w:r>
            <w:r>
              <w:t xml:space="preserve">автоматически. Статус документа</w:t>
            </w:r>
            <w:r/>
          </w:p>
        </w:tc>
      </w:tr>
      <w:tr>
        <w:tblPrEx/>
        <w:trPr/>
        <w:tc>
          <w:tcPr>
            <w:tcW w:w="860" w:type="pct"/>
            <w:textDirection w:val="lrTb"/>
            <w:noWrap w:val="false"/>
          </w:tcPr>
          <w:p>
            <w:pPr>
              <w:pStyle w:val="1316"/>
            </w:pPr>
            <w:r>
              <w:t xml:space="preserve">Локальный статус</w:t>
            </w:r>
            <w:r/>
          </w:p>
        </w:tc>
        <w:tc>
          <w:tcPr>
            <w:tcW w:w="1202" w:type="pct"/>
            <w:textDirection w:val="lrTb"/>
            <w:noWrap w:val="false"/>
          </w:tcPr>
          <w:p>
            <w:pPr>
              <w:pStyle w:val="1316"/>
            </w:pPr>
            <w:r>
              <w:t xml:space="preserve">Текстовое поле</w:t>
            </w:r>
            <w:r/>
          </w:p>
        </w:tc>
        <w:tc>
          <w:tcPr>
            <w:tcW w:w="310" w:type="pct"/>
            <w:textDirection w:val="lrTb"/>
            <w:noWrap w:val="false"/>
          </w:tcPr>
          <w:p>
            <w:pPr>
              <w:pStyle w:val="1316"/>
            </w:pPr>
            <w:r>
              <w:t xml:space="preserve">Да</w:t>
            </w:r>
            <w:r/>
          </w:p>
        </w:tc>
        <w:tc>
          <w:tcPr>
            <w:tcW w:w="2628" w:type="pct"/>
            <w:textDirection w:val="lrTb"/>
            <w:noWrap w:val="false"/>
          </w:tcPr>
          <w:p>
            <w:pPr>
              <w:pStyle w:val="1316"/>
            </w:pPr>
            <w:r>
              <w:t xml:space="preserve">Системное поле заполняется автоматически. Локальный с</w:t>
            </w:r>
            <w:r>
              <w:t xml:space="preserve">татус документа</w:t>
            </w:r>
            <w:r/>
          </w:p>
        </w:tc>
      </w:tr>
      <w:tr>
        <w:tblPrEx/>
        <w:trPr/>
        <w:tc>
          <w:tcPr>
            <w:tcW w:w="860" w:type="pct"/>
            <w:textDirection w:val="lrTb"/>
            <w:noWrap w:val="false"/>
          </w:tcPr>
          <w:p>
            <w:pPr>
              <w:pStyle w:val="1316"/>
            </w:pPr>
            <w:r>
              <w:t xml:space="preserve">Создан</w:t>
            </w:r>
            <w:r/>
          </w:p>
        </w:tc>
        <w:tc>
          <w:tcPr>
            <w:tcW w:w="1202" w:type="pct"/>
            <w:textDirection w:val="lrTb"/>
            <w:noWrap w:val="false"/>
          </w:tcPr>
          <w:p>
            <w:pPr>
              <w:pStyle w:val="1316"/>
            </w:pPr>
            <w:r>
              <w:t xml:space="preserve">Дата</w:t>
            </w:r>
            <w:r/>
          </w:p>
        </w:tc>
        <w:tc>
          <w:tcPr>
            <w:tcW w:w="310" w:type="pct"/>
            <w:textDirection w:val="lrTb"/>
            <w:noWrap w:val="false"/>
          </w:tcPr>
          <w:p>
            <w:pPr>
              <w:pStyle w:val="1316"/>
            </w:pPr>
            <w:r>
              <w:t xml:space="preserve">Да</w:t>
            </w:r>
            <w:r/>
          </w:p>
        </w:tc>
        <w:tc>
          <w:tcPr>
            <w:tcW w:w="2628" w:type="pct"/>
            <w:textDirection w:val="lrTb"/>
            <w:noWrap w:val="false"/>
          </w:tcPr>
          <w:p>
            <w:pPr>
              <w:pStyle w:val="1316"/>
            </w:pPr>
            <w:r>
              <w:t xml:space="preserve">Системное поле заполняется автомат</w:t>
            </w:r>
            <w:r>
              <w:t xml:space="preserve">ически. Дата создания документа</w:t>
            </w:r>
            <w:r/>
          </w:p>
        </w:tc>
      </w:tr>
      <w:tr>
        <w:tblPrEx/>
        <w:trPr/>
        <w:tc>
          <w:tcPr>
            <w:tcW w:w="860" w:type="pct"/>
            <w:textDirection w:val="lrTb"/>
            <w:noWrap w:val="false"/>
          </w:tcPr>
          <w:p>
            <w:pPr>
              <w:pStyle w:val="1316"/>
            </w:pPr>
            <w:r>
              <w:t xml:space="preserve">Изменен</w:t>
            </w:r>
            <w:r/>
          </w:p>
        </w:tc>
        <w:tc>
          <w:tcPr>
            <w:tcW w:w="1202" w:type="pct"/>
            <w:textDirection w:val="lrTb"/>
            <w:noWrap w:val="false"/>
          </w:tcPr>
          <w:p>
            <w:pPr>
              <w:pStyle w:val="1316"/>
            </w:pPr>
            <w:r>
              <w:t xml:space="preserve">Дата</w:t>
            </w:r>
            <w:r/>
          </w:p>
        </w:tc>
        <w:tc>
          <w:tcPr>
            <w:tcW w:w="310" w:type="pct"/>
            <w:textDirection w:val="lrTb"/>
            <w:noWrap w:val="false"/>
          </w:tcPr>
          <w:p>
            <w:pPr>
              <w:pStyle w:val="1316"/>
            </w:pPr>
            <w:r>
              <w:t xml:space="preserve">Да</w:t>
            </w:r>
            <w:r/>
          </w:p>
        </w:tc>
        <w:tc>
          <w:tcPr>
            <w:tcW w:w="2628" w:type="pct"/>
            <w:textDirection w:val="lrTb"/>
            <w:noWrap w:val="false"/>
          </w:tcPr>
          <w:p>
            <w:pPr>
              <w:pStyle w:val="1316"/>
            </w:pPr>
            <w:r>
              <w:t xml:space="preserve">Системное поле заполняется автомати</w:t>
            </w:r>
            <w:r>
              <w:t xml:space="preserve">чески. Дата изменения документа</w:t>
            </w:r>
            <w:r/>
          </w:p>
        </w:tc>
      </w:tr>
      <w:tr>
        <w:tblPrEx/>
        <w:trPr/>
        <w:tc>
          <w:tcPr>
            <w:tcW w:w="860" w:type="pct"/>
            <w:textDirection w:val="lrTb"/>
            <w:noWrap w:val="false"/>
          </w:tcPr>
          <w:p>
            <w:pPr>
              <w:pStyle w:val="1316"/>
            </w:pPr>
            <w:r>
              <w:t xml:space="preserve">Идентификатор базы данных</w:t>
            </w:r>
            <w:r/>
          </w:p>
        </w:tc>
        <w:tc>
          <w:tcPr>
            <w:tcW w:w="1202" w:type="pct"/>
            <w:textDirection w:val="lrTb"/>
            <w:noWrap w:val="false"/>
          </w:tcPr>
          <w:p>
            <w:pPr>
              <w:pStyle w:val="1316"/>
            </w:pPr>
            <w:r>
              <w:t xml:space="preserve">Числовое поле</w:t>
            </w:r>
            <w:r/>
          </w:p>
        </w:tc>
        <w:tc>
          <w:tcPr>
            <w:tcW w:w="310" w:type="pct"/>
            <w:textDirection w:val="lrTb"/>
            <w:noWrap w:val="false"/>
          </w:tcPr>
          <w:p>
            <w:pPr>
              <w:pStyle w:val="1316"/>
            </w:pPr>
            <w:r>
              <w:t xml:space="preserve">Да</w:t>
            </w:r>
            <w:r/>
          </w:p>
        </w:tc>
        <w:tc>
          <w:tcPr>
            <w:tcW w:w="2628" w:type="pct"/>
            <w:textDirection w:val="lrTb"/>
            <w:noWrap w:val="false"/>
          </w:tcPr>
          <w:p>
            <w:pPr>
              <w:pStyle w:val="1316"/>
            </w:pPr>
            <w:r>
              <w:t xml:space="preserve">Системное поле заполняется автоматически.</w:t>
            </w:r>
            <w:r/>
          </w:p>
          <w:p>
            <w:pPr>
              <w:pStyle w:val="1316"/>
            </w:pPr>
            <w:r>
              <w:t xml:space="preserve">Номер документа в базе данных</w:t>
            </w:r>
            <w:r/>
          </w:p>
        </w:tc>
      </w:tr>
      <w:tr>
        <w:tblPrEx/>
        <w:trPr/>
        <w:tc>
          <w:tcPr>
            <w:tcW w:w="860" w:type="pct"/>
            <w:textDirection w:val="lrTb"/>
            <w:noWrap w:val="false"/>
          </w:tcPr>
          <w:p>
            <w:pPr>
              <w:pStyle w:val="1316"/>
            </w:pPr>
            <w:r>
              <w:t xml:space="preserve">Идентификатор</w:t>
            </w:r>
            <w:r/>
          </w:p>
        </w:tc>
        <w:tc>
          <w:tcPr>
            <w:tcW w:w="1202" w:type="pct"/>
            <w:textDirection w:val="lrTb"/>
            <w:noWrap w:val="false"/>
          </w:tcPr>
          <w:p>
            <w:pPr>
              <w:pStyle w:val="1316"/>
            </w:pPr>
            <w:r>
              <w:t xml:space="preserve">Текстовое поле</w:t>
            </w:r>
            <w:r/>
          </w:p>
        </w:tc>
        <w:tc>
          <w:tcPr>
            <w:tcW w:w="310" w:type="pct"/>
            <w:textDirection w:val="lrTb"/>
            <w:noWrap w:val="false"/>
          </w:tcPr>
          <w:p>
            <w:pPr>
              <w:pStyle w:val="1316"/>
            </w:pPr>
            <w:r>
              <w:t xml:space="preserve">Да</w:t>
            </w:r>
            <w:r/>
          </w:p>
        </w:tc>
        <w:tc>
          <w:tcPr>
            <w:tcW w:w="2628" w:type="pct"/>
            <w:textDirection w:val="lrTb"/>
            <w:noWrap w:val="false"/>
          </w:tcPr>
          <w:p>
            <w:pPr>
              <w:pStyle w:val="1316"/>
            </w:pPr>
            <w:r>
              <w:t xml:space="preserve">Системное поле заполняется автоматически.</w:t>
            </w:r>
            <w:r/>
          </w:p>
          <w:p>
            <w:pPr>
              <w:pStyle w:val="1316"/>
            </w:pPr>
            <w:r>
              <w:t xml:space="preserve">GUID документа в базе данных</w:t>
            </w:r>
            <w:r/>
          </w:p>
        </w:tc>
      </w:tr>
      <w:tr>
        <w:tblPrEx/>
        <w:trPr/>
        <w:tc>
          <w:tcPr>
            <w:tcW w:w="860" w:type="pct"/>
            <w:textDirection w:val="lrTb"/>
            <w:noWrap w:val="false"/>
          </w:tcPr>
          <w:p>
            <w:pPr>
              <w:pStyle w:val="1316"/>
            </w:pPr>
            <w:r>
              <w:t xml:space="preserve">Количество вложений</w:t>
            </w:r>
            <w:r/>
          </w:p>
        </w:tc>
        <w:tc>
          <w:tcPr>
            <w:tcW w:w="1202" w:type="pct"/>
            <w:textDirection w:val="lrTb"/>
            <w:noWrap w:val="false"/>
          </w:tcPr>
          <w:p>
            <w:pPr>
              <w:pStyle w:val="1316"/>
            </w:pPr>
            <w:r>
              <w:t xml:space="preserve">Текстовое поле</w:t>
            </w:r>
            <w:r/>
          </w:p>
        </w:tc>
        <w:tc>
          <w:tcPr>
            <w:tcW w:w="310" w:type="pct"/>
            <w:textDirection w:val="lrTb"/>
            <w:noWrap w:val="false"/>
          </w:tcPr>
          <w:p>
            <w:pPr>
              <w:pStyle w:val="1316"/>
            </w:pPr>
            <w:r>
              <w:t xml:space="preserve">Да</w:t>
            </w:r>
            <w:r/>
          </w:p>
        </w:tc>
        <w:tc>
          <w:tcPr>
            <w:tcW w:w="2628" w:type="pct"/>
            <w:textDirection w:val="lrTb"/>
            <w:noWrap w:val="false"/>
          </w:tcPr>
          <w:p>
            <w:pPr>
              <w:pStyle w:val="1316"/>
            </w:pPr>
            <w:r>
              <w:t xml:space="preserve">Системное поле заполняется автоматически.</w:t>
            </w:r>
            <w:r/>
          </w:p>
          <w:p>
            <w:pPr>
              <w:pStyle w:val="1316"/>
            </w:pPr>
            <w:r>
              <w:t xml:space="preserve">Отражает количество влож</w:t>
            </w:r>
            <w:r>
              <w:t xml:space="preserve">ений в документ</w:t>
            </w:r>
            <w:r/>
          </w:p>
        </w:tc>
      </w:tr>
      <w:tr>
        <w:tblPrEx/>
        <w:trPr/>
        <w:tc>
          <w:tcPr>
            <w:tcW w:w="860" w:type="pct"/>
            <w:textDirection w:val="lrTb"/>
            <w:noWrap w:val="false"/>
          </w:tcPr>
          <w:p>
            <w:pPr>
              <w:pStyle w:val="1316"/>
            </w:pPr>
            <w:r>
              <w:t xml:space="preserve">Тип документа</w:t>
            </w:r>
            <w:r/>
          </w:p>
        </w:tc>
        <w:tc>
          <w:tcPr>
            <w:tcW w:w="1202" w:type="pct"/>
            <w:textDirection w:val="lrTb"/>
            <w:noWrap w:val="false"/>
          </w:tcPr>
          <w:p>
            <w:pPr>
              <w:pStyle w:val="1316"/>
            </w:pPr>
            <w:r>
              <w:t xml:space="preserve">Текстовое поле</w:t>
            </w:r>
            <w:r/>
          </w:p>
        </w:tc>
        <w:tc>
          <w:tcPr>
            <w:tcW w:w="310" w:type="pct"/>
            <w:textDirection w:val="lrTb"/>
            <w:noWrap w:val="false"/>
          </w:tcPr>
          <w:p>
            <w:pPr>
              <w:pStyle w:val="1316"/>
            </w:pPr>
            <w:r>
              <w:t xml:space="preserve">Да</w:t>
            </w:r>
            <w:r/>
          </w:p>
        </w:tc>
        <w:tc>
          <w:tcPr>
            <w:tcW w:w="2628" w:type="pct"/>
            <w:textDirection w:val="lrTb"/>
            <w:noWrap w:val="false"/>
          </w:tcPr>
          <w:p>
            <w:pPr>
              <w:pStyle w:val="1316"/>
            </w:pPr>
            <w:r>
              <w:t xml:space="preserve">Системное поле заполняется автоматичес</w:t>
            </w:r>
            <w:r>
              <w:t xml:space="preserve">ки. Тип документа в базе данных</w:t>
            </w:r>
            <w:r/>
          </w:p>
        </w:tc>
      </w:tr>
      <w:tr>
        <w:tblPrEx/>
        <w:trPr/>
        <w:tc>
          <w:tcPr>
            <w:tcW w:w="860" w:type="pct"/>
            <w:textDirection w:val="lrTb"/>
            <w:noWrap w:val="false"/>
          </w:tcPr>
          <w:p>
            <w:pPr>
              <w:pStyle w:val="1316"/>
            </w:pPr>
            <w:r>
              <w:t xml:space="preserve">Политика редактирования ЖЦ</w:t>
            </w:r>
            <w:r/>
          </w:p>
        </w:tc>
        <w:tc>
          <w:tcPr>
            <w:tcW w:w="1202" w:type="pct"/>
            <w:textDirection w:val="lrTb"/>
            <w:noWrap w:val="false"/>
          </w:tcPr>
          <w:p>
            <w:pPr>
              <w:pStyle w:val="1316"/>
            </w:pPr>
            <w:r>
              <w:t xml:space="preserve">Текстовое поле</w:t>
            </w:r>
            <w:r/>
          </w:p>
        </w:tc>
        <w:tc>
          <w:tcPr>
            <w:tcW w:w="310" w:type="pct"/>
            <w:textDirection w:val="lrTb"/>
            <w:noWrap w:val="false"/>
          </w:tcPr>
          <w:p>
            <w:pPr>
              <w:pStyle w:val="1316"/>
            </w:pPr>
            <w:r>
              <w:t xml:space="preserve">Да</w:t>
            </w:r>
            <w:r/>
          </w:p>
        </w:tc>
        <w:tc>
          <w:tcPr>
            <w:tcW w:w="2628" w:type="pct"/>
            <w:textDirection w:val="lrTb"/>
            <w:noWrap w:val="false"/>
          </w:tcPr>
          <w:p>
            <w:pPr>
              <w:pStyle w:val="1316"/>
            </w:pPr>
            <w:r>
              <w:t xml:space="preserve">Системное поле заполняется автоматически.</w:t>
            </w:r>
            <w:r/>
          </w:p>
          <w:p>
            <w:pPr>
              <w:pStyle w:val="1316"/>
            </w:pPr>
            <w:r>
              <w:t xml:space="preserve">Информация о возможности редактирования полей д</w:t>
            </w:r>
            <w:r>
              <w:t xml:space="preserve">окумента</w:t>
            </w:r>
            <w:r/>
          </w:p>
        </w:tc>
      </w:tr>
    </w:tbl>
    <w:p>
      <w:pPr>
        <w:pStyle w:val="1305"/>
      </w:pPr>
      <w:r/>
      <w:r/>
    </w:p>
    <w:p>
      <w:pPr>
        <w:pStyle w:val="1281"/>
      </w:pPr>
      <w:r/>
      <w:bookmarkStart w:id="620" w:name="_Ref495503546"/>
      <w:r/>
      <w:bookmarkStart w:id="621" w:name="_Toc518659911"/>
      <w:r/>
      <w:bookmarkStart w:id="622" w:name="_Toc221869933"/>
      <w:r/>
      <w:bookmarkStart w:id="623" w:name="_Toc478574685"/>
      <w:r/>
      <w:bookmarkStart w:id="624" w:name="_Toc489894292"/>
      <w:r/>
      <w:bookmarkEnd w:id="553"/>
      <w:r>
        <w:t xml:space="preserve">Описание действий работника в случае аварийных ситуаций</w:t>
      </w:r>
      <w:bookmarkEnd w:id="620"/>
      <w:r/>
      <w:bookmarkEnd w:id="621"/>
      <w:r/>
      <w:bookmarkEnd w:id="622"/>
      <w:r/>
      <w:r/>
    </w:p>
    <w:p>
      <w:pPr>
        <w:pStyle w:val="1282"/>
      </w:pPr>
      <w:r/>
      <w:bookmarkStart w:id="625" w:name="_Ref166569228"/>
      <w:r/>
      <w:bookmarkStart w:id="626" w:name="_Toc221869934"/>
      <w:r>
        <w:t xml:space="preserve">Действия в случае несоблюдения условий выполнения технологического процесса, в том числе при длительных отказах технических средств</w:t>
      </w:r>
      <w:bookmarkEnd w:id="623"/>
      <w:r/>
      <w:bookmarkEnd w:id="624"/>
      <w:r/>
      <w:bookmarkEnd w:id="625"/>
      <w:r/>
      <w:bookmarkEnd w:id="626"/>
      <w:r/>
      <w:r/>
    </w:p>
    <w:p>
      <w:pPr>
        <w:pStyle w:val="1283"/>
      </w:pPr>
      <w:r/>
      <w:bookmarkStart w:id="627" w:name="_Toc478574687"/>
      <w:r/>
      <w:bookmarkStart w:id="628" w:name="_Toc481583263"/>
      <w:r/>
      <w:bookmarkStart w:id="629" w:name="_Toc484190443"/>
      <w:r/>
      <w:bookmarkStart w:id="630" w:name="_Toc484192804"/>
      <w:r/>
      <w:bookmarkStart w:id="631" w:name="_Toc478574686"/>
      <w:r/>
      <w:bookmarkStart w:id="632" w:name="_Toc489894293"/>
      <w:r/>
      <w:bookmarkStart w:id="633" w:name="_Toc179283308"/>
      <w:r/>
      <w:bookmarkStart w:id="634" w:name="_Ref180421372"/>
      <w:r/>
      <w:bookmarkStart w:id="635" w:name="_Toc182821667"/>
      <w:r/>
      <w:bookmarkStart w:id="636" w:name="_Ref182829213"/>
      <w:r/>
      <w:bookmarkStart w:id="637" w:name="_Toc221869935"/>
      <w:r/>
      <w:bookmarkStart w:id="638" w:name="_Toc478574688"/>
      <w:r/>
      <w:bookmarkStart w:id="639" w:name="_Toc489894294"/>
      <w:r/>
      <w:bookmarkEnd w:id="627"/>
      <w:r/>
      <w:bookmarkEnd w:id="628"/>
      <w:r/>
      <w:bookmarkEnd w:id="629"/>
      <w:r/>
      <w:bookmarkEnd w:id="630"/>
      <w:r>
        <w:t xml:space="preserve">Действия Пользователя в случае появления ошибок при выполнении операций, описанных в разделе 4 «Описание последовательности действий работника»</w:t>
      </w:r>
      <w:bookmarkEnd w:id="631"/>
      <w:r/>
      <w:bookmarkEnd w:id="632"/>
      <w:r/>
      <w:bookmarkEnd w:id="633"/>
      <w:r/>
      <w:bookmarkEnd w:id="634"/>
      <w:r/>
      <w:bookmarkEnd w:id="635"/>
      <w:r/>
      <w:bookmarkEnd w:id="636"/>
      <w:r/>
      <w:bookmarkEnd w:id="637"/>
      <w:r/>
      <w:r/>
    </w:p>
    <w:p>
      <w:pPr>
        <w:pStyle w:val="1306"/>
      </w:pPr>
      <w:r>
        <w:t xml:space="preserve">В ходе эксплуатации возможно возникновение аварийных (внештатных) ситуаций, не предусмотренных руководством пользователя. Например:</w:t>
      </w:r>
      <w:r/>
    </w:p>
    <w:p>
      <w:pPr>
        <w:pStyle w:val="1296"/>
      </w:pPr>
      <w:r>
        <w:t xml:space="preserve">п</w:t>
      </w:r>
      <w:r>
        <w:t xml:space="preserve">ри создании </w:t>
      </w:r>
      <w:r>
        <w:t xml:space="preserve">Заявления </w:t>
      </w:r>
      <w:r>
        <w:t xml:space="preserve">на изменение справочника «Книга регистрации лицевых счетов» пользователем</w:t>
      </w:r>
      <w:r>
        <w:t xml:space="preserve">, организация которого включена в Сводный реестр или Реестр ИП и КФХ, хотя бы с одной из </w:t>
      </w:r>
      <w:r>
        <w:t xml:space="preserve">рол</w:t>
      </w:r>
      <w:r>
        <w:t xml:space="preserve">ей «ЛС.006 Исполнитель клиент», «ЛС.007 Согласующий клиент», «ЛС.008 Утверждающий клиент»,</w:t>
      </w:r>
      <w:r>
        <w:t xml:space="preserve"> данные </w:t>
      </w:r>
      <w:r>
        <w:t xml:space="preserve">Заявления </w:t>
      </w:r>
      <w:r>
        <w:t xml:space="preserve">не доступны для редактирования.</w:t>
      </w:r>
      <w:r/>
    </w:p>
    <w:p>
      <w:pPr>
        <w:pStyle w:val="1305"/>
      </w:pPr>
      <w:r>
        <w:t xml:space="preserve">Для указанных ошибок Пользователь самостоятельно проводит предварительный анализ, используя таблицу ниже (таб</w:t>
      </w:r>
      <w:r>
        <w:t xml:space="preserve">л</w:t>
      </w:r>
      <w:r>
        <w:t xml:space="preserve">. </w:t>
      </w:r>
      <w:r>
        <w:fldChar w:fldCharType="begin"/>
      </w:r>
      <w:r>
        <w:instrText xml:space="preserve"> REF Т_53 \h  \* MERGEFORMAT </w:instrText>
      </w:r>
      <w:r>
        <w:fldChar w:fldCharType="separate"/>
      </w:r>
      <w:r>
        <w:rPr>
          <w:rStyle w:val="1391"/>
          <w:b w:val="0"/>
          <w:bCs w:val="0"/>
        </w:rPr>
        <w:t xml:space="preserve">11</w:t>
      </w:r>
      <w:r>
        <w:fldChar w:fldCharType="end"/>
      </w:r>
      <w:r>
        <w:t xml:space="preserve">)</w:t>
      </w:r>
      <w:r>
        <w:t xml:space="preserve">.</w:t>
      </w:r>
      <w:r/>
    </w:p>
    <w:p>
      <w:pPr>
        <w:pStyle w:val="1305"/>
      </w:pPr>
      <w:r>
        <w:t xml:space="preserve">Если типовые вопросы не решили проблемы, необходимо сформировать стандартный запрос в СУЭ ФК согласно регламенту.</w:t>
      </w:r>
      <w:r/>
    </w:p>
    <w:p>
      <w:pPr>
        <w:pStyle w:val="1304"/>
      </w:pPr>
      <w:r/>
      <w:bookmarkStart w:id="640" w:name="Т_53"/>
      <w:r/>
      <w:bookmarkStart w:id="641" w:name="_Toc524683183"/>
      <w:r>
        <w:rPr>
          <w:rStyle w:val="1391"/>
          <w:b/>
          <w:bCs w:val="0"/>
        </w:rPr>
        <w:fldChar w:fldCharType="begin"/>
      </w:r>
      <w:r>
        <w:rPr>
          <w:rStyle w:val="1391"/>
          <w:b/>
          <w:bCs w:val="0"/>
        </w:rPr>
        <w:instrText xml:space="preserve"> SEQ Таблица \* ARABIC \s 0 </w:instrText>
      </w:r>
      <w:r>
        <w:rPr>
          <w:rStyle w:val="1391"/>
          <w:b/>
          <w:bCs w:val="0"/>
        </w:rPr>
        <w:fldChar w:fldCharType="separate"/>
      </w:r>
      <w:bookmarkStart w:id="642" w:name="_Ref150716336"/>
      <w:r/>
      <w:bookmarkStart w:id="643" w:name="_Toc179283389"/>
      <w:r/>
      <w:bookmarkStart w:id="644" w:name="_Toc182821729"/>
      <w:r/>
      <w:bookmarkStart w:id="645" w:name="_Toc221869952"/>
      <w:r>
        <w:rPr>
          <w:rStyle w:val="1391"/>
          <w:b/>
          <w:bCs w:val="0"/>
        </w:rPr>
        <w:t xml:space="preserve">11</w:t>
      </w:r>
      <w:bookmarkEnd w:id="642"/>
      <w:r>
        <w:rPr>
          <w:rStyle w:val="1391"/>
          <w:b/>
          <w:bCs w:val="0"/>
        </w:rPr>
        <w:fldChar w:fldCharType="end"/>
      </w:r>
      <w:bookmarkEnd w:id="640"/>
      <w:r>
        <w:t xml:space="preserve">. Действия Пользователя в случае появления ошибок при выполнении операций</w:t>
      </w:r>
      <w:bookmarkEnd w:id="641"/>
      <w:r/>
      <w:bookmarkEnd w:id="643"/>
      <w:r/>
      <w:bookmarkEnd w:id="644"/>
      <w:r/>
      <w:bookmarkEnd w:id="645"/>
      <w:r/>
      <w:r/>
    </w:p>
    <w:tbl>
      <w:tblPr>
        <w:tblStyle w:val="1315"/>
        <w:tblW w:w="5000" w:type="pct"/>
        <w:tblLayout w:type="fixed"/>
        <w:tblLook w:val="0020" w:firstRow="1" w:lastRow="0" w:firstColumn="0" w:lastColumn="0" w:noHBand="0" w:noVBand="0"/>
      </w:tblPr>
      <w:tblGrid>
        <w:gridCol w:w="2580"/>
        <w:gridCol w:w="2977"/>
        <w:gridCol w:w="4137"/>
      </w:tblGrid>
      <w:tr>
        <w:tblPrEx/>
        <w:trPr/>
        <w:tc>
          <w:tcPr>
            <w:tcW w:w="2580" w:type="dxa"/>
            <w:textDirection w:val="lrTb"/>
            <w:noWrap w:val="false"/>
          </w:tcPr>
          <w:p>
            <w:pPr>
              <w:pStyle w:val="1317"/>
            </w:pPr>
            <w:r>
              <w:t xml:space="preserve">Проблема</w:t>
            </w:r>
            <w:r/>
          </w:p>
        </w:tc>
        <w:tc>
          <w:tcPr>
            <w:tcW w:w="2977" w:type="dxa"/>
            <w:textDirection w:val="lrTb"/>
            <w:noWrap w:val="false"/>
          </w:tcPr>
          <w:p>
            <w:pPr>
              <w:pStyle w:val="1317"/>
            </w:pPr>
            <w:r>
              <w:t xml:space="preserve">Исполнитель (Ответственные за решение)</w:t>
            </w:r>
            <w:r/>
          </w:p>
        </w:tc>
        <w:tc>
          <w:tcPr>
            <w:tcW w:w="4137" w:type="dxa"/>
            <w:textDirection w:val="lrTb"/>
            <w:noWrap w:val="false"/>
          </w:tcPr>
          <w:p>
            <w:pPr>
              <w:pStyle w:val="1317"/>
            </w:pPr>
            <w:r>
              <w:t xml:space="preserve">Типовые вопросы-ответы</w:t>
            </w:r>
            <w:r/>
          </w:p>
        </w:tc>
      </w:tr>
      <w:tr>
        <w:tblPrEx/>
        <w:trPr/>
        <w:tc>
          <w:tcPr>
            <w:tcW w:w="2580" w:type="dxa"/>
            <w:textDirection w:val="lrTb"/>
            <w:noWrap w:val="false"/>
          </w:tcPr>
          <w:p>
            <w:pPr>
              <w:pStyle w:val="1316"/>
            </w:pPr>
            <w:r>
              <w:t xml:space="preserve">При создании </w:t>
            </w:r>
            <w:r>
              <w:t xml:space="preserve">Заявления </w:t>
            </w:r>
            <w:r>
              <w:t xml:space="preserve">на изме</w:t>
            </w:r>
            <w:r>
              <w:t xml:space="preserve">нение справочника «Книга регистрации лицевых счетов» пользователем, организация которого включена в Сводный реестр или Реестр ИП и КФХ, хотя бы с одной из ролей «ЛС.006 Исполнитель клиент», «ЛС.007 Согласующий клиент», «ЛС.008 Утверждающий клиент», данные </w:t>
            </w:r>
            <w:r>
              <w:t xml:space="preserve">Заявления </w:t>
            </w:r>
            <w:r>
              <w:t xml:space="preserve">не доступны для редактирования</w:t>
            </w:r>
            <w:r/>
          </w:p>
        </w:tc>
        <w:tc>
          <w:tcPr>
            <w:tcW w:w="2977" w:type="dxa"/>
            <w:textDirection w:val="lrTb"/>
            <w:noWrap w:val="false"/>
          </w:tcPr>
          <w:p>
            <w:pPr>
              <w:pStyle w:val="1316"/>
            </w:pPr>
            <w:r>
              <w:t xml:space="preserve">Сотрудник организации, ответственный за наделение пользователей ролями в ПОИБ СОБИ</w:t>
            </w:r>
            <w:r>
              <w:t xml:space="preserve"> ФК</w:t>
            </w:r>
            <w:r/>
          </w:p>
        </w:tc>
        <w:tc>
          <w:tcPr>
            <w:tcW w:w="4137" w:type="dxa"/>
            <w:textDirection w:val="lrTb"/>
            <w:noWrap w:val="false"/>
          </w:tcPr>
          <w:p>
            <w:pPr>
              <w:pStyle w:val="1316"/>
            </w:pPr>
            <w:r>
              <w:t xml:space="preserve">Требуется проверить у</w:t>
            </w:r>
            <w:r>
              <w:t xml:space="preserve"> пользователя в ЛК ПОИБ СОБИ </w:t>
            </w:r>
            <w:r>
              <w:t xml:space="preserve">ФК </w:t>
            </w:r>
            <w:r>
              <w:t xml:space="preserve">наличие </w:t>
            </w:r>
            <w:r>
              <w:t xml:space="preserve">ролей саморегистрирующейся организации</w:t>
            </w:r>
            <w:r>
              <w:t xml:space="preserve">:</w:t>
            </w:r>
            <w:r/>
          </w:p>
          <w:p>
            <w:pPr>
              <w:pStyle w:val="1316"/>
            </w:pPr>
            <w:r>
              <w:t xml:space="preserve">НСИ.001. Саморегистрация. Ввод данных; </w:t>
            </w:r>
            <w:r/>
          </w:p>
          <w:p>
            <w:pPr>
              <w:pStyle w:val="1316"/>
            </w:pPr>
            <w:r>
              <w:t xml:space="preserve">НСИ.002. Саморегистрация. Согласующий; </w:t>
            </w:r>
            <w:r/>
          </w:p>
          <w:p>
            <w:pPr>
              <w:pStyle w:val="1316"/>
            </w:pPr>
            <w:r>
              <w:t xml:space="preserve">НСИ.003. Саморегистрация. Утверждающий;</w:t>
            </w:r>
            <w:r/>
          </w:p>
          <w:p>
            <w:pPr>
              <w:pStyle w:val="1316"/>
            </w:pPr>
            <w:r>
              <w:t xml:space="preserve">НСИ.001. Саморегистрация. Исполнитель ЛС</w:t>
            </w:r>
            <w:r/>
          </w:p>
          <w:p>
            <w:pPr>
              <w:pStyle w:val="1316"/>
            </w:pPr>
            <w:r>
              <w:t xml:space="preserve">и в случае их наличия – снять</w:t>
            </w:r>
            <w:r/>
          </w:p>
        </w:tc>
      </w:tr>
    </w:tbl>
    <w:p>
      <w:pPr>
        <w:pStyle w:val="1283"/>
        <w:rPr>
          <w:sz w:val="24"/>
          <w:szCs w:val="24"/>
        </w:rPr>
      </w:pPr>
      <w:r/>
      <w:bookmarkStart w:id="646" w:name="_Toc221869936"/>
      <w:r>
        <w:t xml:space="preserve">Действия пользователя в случае появления ошибок, не вызванных действиями пользователя</w:t>
      </w:r>
      <w:bookmarkEnd w:id="638"/>
      <w:r/>
      <w:bookmarkEnd w:id="639"/>
      <w:r/>
      <w:bookmarkEnd w:id="646"/>
      <w:r/>
      <w:r>
        <w:rPr>
          <w:sz w:val="24"/>
          <w:szCs w:val="24"/>
        </w:rPr>
      </w:r>
    </w:p>
    <w:p>
      <w:pPr>
        <w:pStyle w:val="1305"/>
      </w:pPr>
      <w:r>
        <w:t xml:space="preserve">При длительном бездействии сеанса ППО «</w:t>
      </w:r>
      <w:r>
        <w:t xml:space="preserve">Модуль НСИ</w:t>
      </w:r>
      <w:r>
        <w:t xml:space="preserve">» выведет сообщение о неактивности данного сеанса. Для устранения этой ошибки Пользователю необходимо обновить сеанс с помощью кнопки </w:t>
      </w:r>
      <w:r>
        <mc:AlternateContent>
          <mc:Choice Requires="wpg">
            <w:drawing>
              <wp:inline xmlns:wp="http://schemas.openxmlformats.org/drawingml/2006/wordprocessingDrawing" distT="0" distB="0" distL="0" distR="0">
                <wp:extent cx="274320" cy="274320"/>
                <wp:effectExtent l="19050" t="19050" r="11430" b="11430"/>
                <wp:docPr id="100"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0"/>
                        <pic:cNvPicPr>
                          <a:picLocks noChangeAspect="1"/>
                        </pic:cNvPicPr>
                        <pic:nvPr/>
                      </pic:nvPicPr>
                      <pic:blipFill>
                        <a:blip r:embed="rId114"/>
                        <a:stretch/>
                      </pic:blipFill>
                      <pic:spPr bwMode="auto">
                        <a:xfrm>
                          <a:off x="0" y="0"/>
                          <a:ext cx="274320" cy="274320"/>
                        </a:xfrm>
                        <a:prstGeom prst="rect">
                          <a:avLst/>
                        </a:prstGeom>
                        <a:noFill/>
                        <a:ln w="6350" cmpd="sng">
                          <a:solidFill>
                            <a:srgbClr val="000000"/>
                          </a:solidFill>
                          <a:miter lim="800000"/>
                          <a:headEnd/>
                          <a:tailEnd/>
                        </a:ln>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9" o:spid="_x0000_s99" type="#_x0000_t75" style="width:21.60pt;height:21.60pt;mso-wrap-distance-left:0.00pt;mso-wrap-distance-top:0.00pt;mso-wrap-distance-right:0.00pt;mso-wrap-distance-bottom:0.00pt;" strokecolor="#000000" strokeweight="0.50pt">
                <v:path textboxrect="0,0,0,0"/>
                <v:imagedata r:id="rId114" o:title=""/>
              </v:shape>
            </w:pict>
          </mc:Fallback>
        </mc:AlternateContent>
      </w:r>
      <w:r>
        <w:t xml:space="preserve"> «Обновить эту страницу». Если выполненные действия не позволяют продолжить работу, необходимо </w:t>
      </w:r>
      <w:r>
        <w:t xml:space="preserve">повторно авторизоваться </w:t>
      </w:r>
      <w:r>
        <w:t xml:space="preserve">в Системе «Электронный бюджет». Сделать это необходимо после очистки истории, кэша и других данных в выбранном браузере.</w:t>
      </w:r>
      <w:r/>
    </w:p>
    <w:p>
      <w:pPr>
        <w:pStyle w:val="1282"/>
      </w:pPr>
      <w:r/>
      <w:bookmarkStart w:id="647" w:name="_Toc166569335"/>
      <w:r/>
      <w:bookmarkStart w:id="648" w:name="_Toc166569438"/>
      <w:r/>
      <w:bookmarkStart w:id="649" w:name="_Toc166569336"/>
      <w:r/>
      <w:bookmarkStart w:id="650" w:name="_Toc166569439"/>
      <w:r/>
      <w:bookmarkStart w:id="651" w:name="_Toc166569337"/>
      <w:r/>
      <w:bookmarkStart w:id="652" w:name="_Toc166569440"/>
      <w:r/>
      <w:bookmarkStart w:id="653" w:name="_Toc166569338"/>
      <w:r/>
      <w:bookmarkStart w:id="654" w:name="_Toc166569441"/>
      <w:r/>
      <w:bookmarkStart w:id="655" w:name="_Toc166569339"/>
      <w:r/>
      <w:bookmarkStart w:id="656" w:name="_Toc166569442"/>
      <w:r/>
      <w:bookmarkStart w:id="657" w:name="_Toc166569340"/>
      <w:r/>
      <w:bookmarkStart w:id="658" w:name="_Toc166569443"/>
      <w:r/>
      <w:bookmarkStart w:id="659" w:name="_Toc166569341"/>
      <w:r/>
      <w:bookmarkStart w:id="660" w:name="_Toc166569444"/>
      <w:r/>
      <w:bookmarkStart w:id="661" w:name="_Toc166569342"/>
      <w:r/>
      <w:bookmarkStart w:id="662" w:name="_Toc166569445"/>
      <w:r/>
      <w:bookmarkStart w:id="663" w:name="_Toc166569343"/>
      <w:r/>
      <w:bookmarkStart w:id="664" w:name="_Toc166569446"/>
      <w:r/>
      <w:bookmarkStart w:id="665" w:name="_Toc166569344"/>
      <w:r/>
      <w:bookmarkStart w:id="666" w:name="_Toc166569447"/>
      <w:r/>
      <w:bookmarkStart w:id="667" w:name="_Toc166569345"/>
      <w:r/>
      <w:bookmarkStart w:id="668" w:name="_Toc166569448"/>
      <w:r/>
      <w:bookmarkStart w:id="669" w:name="_Toc166569346"/>
      <w:r/>
      <w:bookmarkStart w:id="670" w:name="_Toc166569449"/>
      <w:r/>
      <w:bookmarkStart w:id="671" w:name="_Toc166569347"/>
      <w:r/>
      <w:bookmarkStart w:id="672" w:name="_Toc166569450"/>
      <w:r/>
      <w:bookmarkStart w:id="673" w:name="_Toc166569348"/>
      <w:r/>
      <w:bookmarkStart w:id="674" w:name="_Toc166569451"/>
      <w:r/>
      <w:bookmarkStart w:id="675" w:name="_Toc166569349"/>
      <w:r/>
      <w:bookmarkStart w:id="676" w:name="_Toc166569452"/>
      <w:r/>
      <w:bookmarkStart w:id="677" w:name="_Toc166569350"/>
      <w:r/>
      <w:bookmarkStart w:id="678" w:name="_Toc166569453"/>
      <w:r/>
      <w:bookmarkStart w:id="679" w:name="_Toc166569351"/>
      <w:r/>
      <w:bookmarkStart w:id="680" w:name="_Toc166569454"/>
      <w:r/>
      <w:bookmarkStart w:id="681" w:name="_Toc166569352"/>
      <w:r/>
      <w:bookmarkStart w:id="682" w:name="_Toc166569455"/>
      <w:r/>
      <w:bookmarkStart w:id="683" w:name="_Toc166569353"/>
      <w:r/>
      <w:bookmarkStart w:id="684" w:name="_Toc166569456"/>
      <w:r/>
      <w:bookmarkStart w:id="685" w:name="_Toc166569354"/>
      <w:r/>
      <w:bookmarkStart w:id="686" w:name="_Toc166569457"/>
      <w:r/>
      <w:bookmarkStart w:id="687" w:name="_Toc166569355"/>
      <w:r/>
      <w:bookmarkStart w:id="688" w:name="_Toc166569458"/>
      <w:r/>
      <w:bookmarkStart w:id="689" w:name="_Toc166569356"/>
      <w:r/>
      <w:bookmarkStart w:id="690" w:name="_Toc166569459"/>
      <w:r/>
      <w:bookmarkStart w:id="691" w:name="_Toc166569357"/>
      <w:r/>
      <w:bookmarkStart w:id="692" w:name="_Toc166569460"/>
      <w:r/>
      <w:bookmarkStart w:id="693" w:name="_Toc166569358"/>
      <w:r/>
      <w:bookmarkStart w:id="694" w:name="_Toc166569461"/>
      <w:r/>
      <w:bookmarkStart w:id="695" w:name="_Toc166569359"/>
      <w:r/>
      <w:bookmarkStart w:id="696" w:name="_Toc166569462"/>
      <w:r/>
      <w:bookmarkStart w:id="697" w:name="_Toc478574689"/>
      <w:r/>
      <w:bookmarkStart w:id="698" w:name="_Toc489894295"/>
      <w:r/>
      <w:bookmarkStart w:id="699" w:name="_Ref127965903"/>
      <w:r/>
      <w:bookmarkStart w:id="700" w:name="_Toc221869937"/>
      <w:r/>
      <w:bookmarkEnd w:id="647"/>
      <w:r/>
      <w:bookmarkEnd w:id="648"/>
      <w:r/>
      <w:bookmarkEnd w:id="649"/>
      <w:r/>
      <w:bookmarkEnd w:id="650"/>
      <w:r/>
      <w:bookmarkEnd w:id="651"/>
      <w:r/>
      <w:bookmarkEnd w:id="652"/>
      <w:r/>
      <w:bookmarkEnd w:id="653"/>
      <w:r/>
      <w:bookmarkEnd w:id="654"/>
      <w:r/>
      <w:bookmarkEnd w:id="655"/>
      <w:r/>
      <w:bookmarkEnd w:id="656"/>
      <w:r/>
      <w:bookmarkEnd w:id="657"/>
      <w:r/>
      <w:bookmarkEnd w:id="658"/>
      <w:r/>
      <w:bookmarkEnd w:id="659"/>
      <w:r/>
      <w:bookmarkEnd w:id="660"/>
      <w:r/>
      <w:bookmarkEnd w:id="661"/>
      <w:r/>
      <w:bookmarkEnd w:id="662"/>
      <w:r/>
      <w:bookmarkEnd w:id="663"/>
      <w:r/>
      <w:bookmarkEnd w:id="664"/>
      <w:r/>
      <w:bookmarkEnd w:id="665"/>
      <w:r/>
      <w:bookmarkEnd w:id="666"/>
      <w:r/>
      <w:bookmarkEnd w:id="667"/>
      <w:r/>
      <w:bookmarkEnd w:id="668"/>
      <w:r/>
      <w:bookmarkEnd w:id="669"/>
      <w:r/>
      <w:bookmarkEnd w:id="670"/>
      <w:r/>
      <w:bookmarkEnd w:id="671"/>
      <w:r/>
      <w:bookmarkEnd w:id="672"/>
      <w:r/>
      <w:bookmarkEnd w:id="673"/>
      <w:r/>
      <w:bookmarkEnd w:id="674"/>
      <w:r/>
      <w:bookmarkEnd w:id="675"/>
      <w:r/>
      <w:bookmarkEnd w:id="676"/>
      <w:r/>
      <w:bookmarkEnd w:id="677"/>
      <w:r/>
      <w:bookmarkEnd w:id="678"/>
      <w:r/>
      <w:bookmarkEnd w:id="679"/>
      <w:r/>
      <w:bookmarkEnd w:id="680"/>
      <w:r/>
      <w:bookmarkEnd w:id="681"/>
      <w:r/>
      <w:bookmarkEnd w:id="682"/>
      <w:r/>
      <w:bookmarkEnd w:id="683"/>
      <w:r/>
      <w:bookmarkEnd w:id="684"/>
      <w:r/>
      <w:bookmarkEnd w:id="685"/>
      <w:r/>
      <w:bookmarkEnd w:id="686"/>
      <w:r/>
      <w:bookmarkEnd w:id="687"/>
      <w:r/>
      <w:bookmarkEnd w:id="688"/>
      <w:r/>
      <w:bookmarkEnd w:id="689"/>
      <w:r/>
      <w:bookmarkEnd w:id="690"/>
      <w:r/>
      <w:bookmarkEnd w:id="691"/>
      <w:r/>
      <w:bookmarkEnd w:id="692"/>
      <w:r/>
      <w:bookmarkEnd w:id="693"/>
      <w:r/>
      <w:bookmarkEnd w:id="694"/>
      <w:r/>
      <w:bookmarkEnd w:id="695"/>
      <w:r/>
      <w:bookmarkEnd w:id="696"/>
      <w:r>
        <w:t xml:space="preserve">Действия в случае отказа работы Системы</w:t>
      </w:r>
      <w:bookmarkStart w:id="701" w:name="_Toc429138216"/>
      <w:r/>
      <w:bookmarkStart w:id="702" w:name="_Toc429139214"/>
      <w:r/>
      <w:bookmarkEnd w:id="697"/>
      <w:r/>
      <w:bookmarkEnd w:id="698"/>
      <w:r/>
      <w:bookmarkEnd w:id="699"/>
      <w:r/>
      <w:bookmarkEnd w:id="700"/>
      <w:r/>
      <w:bookmarkEnd w:id="701"/>
      <w:bookmarkEnd w:id="702"/>
      <w:r/>
    </w:p>
    <w:p>
      <w:pPr>
        <w:pStyle w:val="1305"/>
      </w:pPr>
      <w:r>
        <w:t xml:space="preserve">В случае появления сообщений с заголовком «Ошибка» во время работы Пользователя в текущем сеансе следует обрати</w:t>
      </w:r>
      <w:r>
        <w:t xml:space="preserve">ться в Единый контактный центр </w:t>
      </w:r>
      <w:r>
        <w:t xml:space="preserve">по вопросам оказания технической поддержки Системы «Электронный бюджет», приложив скриншот и текст сообщения. </w:t>
      </w:r>
      <w:r/>
    </w:p>
    <w:p>
      <w:pPr>
        <w:pStyle w:val="1306"/>
      </w:pPr>
      <w:r>
        <w:t xml:space="preserve">Ниже приведен перечень возможных ошибок:</w:t>
      </w:r>
      <w:r/>
    </w:p>
    <w:p>
      <w:pPr>
        <w:pStyle w:val="1296"/>
      </w:pPr>
      <w:r>
        <w:t xml:space="preserve">н</w:t>
      </w:r>
      <w:r>
        <w:t xml:space="preserve">е отображается навигация на портале закрытой части Системы «Электронный б</w:t>
      </w:r>
      <w:r>
        <w:t xml:space="preserve">юджет» под логином Пользователя;</w:t>
      </w:r>
      <w:r/>
    </w:p>
    <w:p>
      <w:pPr>
        <w:pStyle w:val="1296"/>
        <w:rPr>
          <w:lang w:val="en-US"/>
        </w:rPr>
      </w:pPr>
      <w:r>
        <w:t xml:space="preserve">п</w:t>
      </w:r>
      <w:r>
        <w:t xml:space="preserve">ри</w:t>
      </w:r>
      <w:r>
        <w:rPr>
          <w:lang w:val="en-US"/>
        </w:rPr>
        <w:t xml:space="preserve"> </w:t>
      </w:r>
      <w:r>
        <w:t xml:space="preserve">открытии</w:t>
      </w:r>
      <w:r>
        <w:rPr>
          <w:lang w:val="en-US"/>
        </w:rPr>
        <w:t xml:space="preserve"> </w:t>
      </w:r>
      <w:r>
        <w:t xml:space="preserve">интерфейса</w:t>
      </w:r>
      <w:r>
        <w:rPr>
          <w:lang w:val="en-US"/>
        </w:rPr>
        <w:t xml:space="preserve"> </w:t>
      </w:r>
      <w:r>
        <w:t xml:space="preserve">ошибка</w:t>
      </w:r>
      <w:r>
        <w:rPr>
          <w:lang w:val="en-US"/>
        </w:rPr>
        <w:t xml:space="preserve"> «Remote Portlet Connection Refused»</w:t>
      </w:r>
      <w:r>
        <w:rPr>
          <w:lang w:val="en-US"/>
        </w:rPr>
        <w:t xml:space="preserve">;</w:t>
      </w:r>
      <w:r>
        <w:rPr>
          <w:lang w:val="en-US"/>
        </w:rPr>
      </w:r>
    </w:p>
    <w:p>
      <w:pPr>
        <w:pStyle w:val="1296"/>
      </w:pPr>
      <w:r>
        <w:t xml:space="preserve">п</w:t>
      </w:r>
      <w:r>
        <w:t xml:space="preserve">ользователь не видит введенные данные</w:t>
      </w:r>
      <w:r>
        <w:t xml:space="preserve">;</w:t>
      </w:r>
      <w:r/>
    </w:p>
    <w:p>
      <w:pPr>
        <w:pStyle w:val="1296"/>
      </w:pPr>
      <w:r>
        <w:t xml:space="preserve">о</w:t>
      </w:r>
      <w:r>
        <w:t xml:space="preserve">шибка при подписании ЭП. Не найден список отозванных сертификатов</w:t>
      </w:r>
      <w:r>
        <w:t xml:space="preserve">;</w:t>
      </w:r>
      <w:r/>
    </w:p>
    <w:p>
      <w:pPr>
        <w:pStyle w:val="1296"/>
      </w:pPr>
      <w:r>
        <w:t xml:space="preserve">н</w:t>
      </w:r>
      <w:r>
        <w:t xml:space="preserve">ет прав для создания документа</w:t>
      </w:r>
      <w:r>
        <w:t xml:space="preserve"> (рис. </w:t>
      </w:r>
      <w:r>
        <w:fldChar w:fldCharType="begin"/>
      </w:r>
      <w:r>
        <w:instrText xml:space="preserve"> REF _Ref530322388 \h </w:instrText>
      </w:r>
      <w:r>
        <w:instrText xml:space="preserve"> \* MERGEFORMAT </w:instrText>
      </w:r>
      <w:r>
        <w:fldChar w:fldCharType="separate"/>
      </w:r>
      <w:r>
        <w:t xml:space="preserve">44</w:t>
      </w:r>
      <w:r>
        <w:fldChar w:fldCharType="end"/>
      </w:r>
      <w:r>
        <w:t xml:space="preserve">).</w:t>
      </w:r>
      <w:r/>
    </w:p>
    <w:p>
      <w:pPr>
        <w:pStyle w:val="1293"/>
      </w:pPr>
      <w:r>
        <w:rPr>
          <w:shd w:val="clear" w:color="auto" w:fill="ffffff"/>
        </w:rPr>
        <mc:AlternateContent>
          <mc:Choice Requires="wpg">
            <w:drawing>
              <wp:inline xmlns:wp="http://schemas.openxmlformats.org/drawingml/2006/wordprocessingDrawing" distT="0" distB="0" distL="0" distR="0">
                <wp:extent cx="5577840" cy="1554480"/>
                <wp:effectExtent l="19050" t="19050" r="22860" b="26670"/>
                <wp:docPr id="101"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1"/>
                        <pic:cNvPicPr>
                          <a:picLocks noChangeAspect="1"/>
                        </pic:cNvPicPr>
                        <pic:nvPr/>
                      </pic:nvPicPr>
                      <pic:blipFill>
                        <a:blip r:embed="rId115"/>
                        <a:stretch/>
                      </pic:blipFill>
                      <pic:spPr bwMode="auto">
                        <a:xfrm>
                          <a:off x="0" y="0"/>
                          <a:ext cx="5577840" cy="1554480"/>
                        </a:xfrm>
                        <a:prstGeom prst="rect">
                          <a:avLst/>
                        </a:prstGeom>
                        <a:solidFill>
                          <a:srgbClr val="FFFFFF"/>
                        </a:solidFill>
                        <a:ln w="6350" cmpd="sng">
                          <a:solidFill>
                            <a:srgbClr val="000000"/>
                          </a:solidFill>
                          <a:miter lim="800000"/>
                          <a:headEnd/>
                          <a:tailEnd/>
                        </a:ln>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0" o:spid="_x0000_s100" type="#_x0000_t75" style="width:439.20pt;height:122.40pt;mso-wrap-distance-left:0.00pt;mso-wrap-distance-top:0.00pt;mso-wrap-distance-right:0.00pt;mso-wrap-distance-bottom:0.00pt;" strokecolor="#000000" strokeweight="0.50pt">
                <v:path textboxrect="0,0,0,0"/>
                <v:imagedata r:id="rId115" o:title=""/>
              </v:shape>
            </w:pict>
          </mc:Fallback>
        </mc:AlternateContent>
      </w:r>
      <w:r/>
    </w:p>
    <w:p>
      <w:pPr>
        <w:pStyle w:val="1294"/>
      </w:pPr>
      <w:r/>
      <w:bookmarkStart w:id="703" w:name="_Ref489874273"/>
      <w:r/>
      <w:bookmarkStart w:id="704" w:name="_Ref489874253"/>
      <w:r/>
      <w:bookmarkStart w:id="705" w:name="_Toc523327071"/>
      <w:r/>
      <w:bookmarkStart w:id="706" w:name="_Toc523335229"/>
      <w:r>
        <w:fldChar w:fldCharType="begin"/>
      </w:r>
      <w:r>
        <w:instrText xml:space="preserve"> SEQ Рисунок \* ARABIC </w:instrText>
      </w:r>
      <w:r>
        <w:fldChar w:fldCharType="separate"/>
      </w:r>
      <w:bookmarkStart w:id="707" w:name="_Ref530322388"/>
      <w:r/>
      <w:bookmarkStart w:id="708" w:name="_Toc163797860"/>
      <w:r/>
      <w:bookmarkStart w:id="709" w:name="_Toc221869996"/>
      <w:r>
        <w:t xml:space="preserve">44</w:t>
      </w:r>
      <w:bookmarkEnd w:id="707"/>
      <w:r>
        <w:fldChar w:fldCharType="end"/>
      </w:r>
      <w:bookmarkEnd w:id="703"/>
      <w:r>
        <w:t xml:space="preserve">.</w:t>
      </w:r>
      <w:r>
        <w:t xml:space="preserve"> Ошибка «Нет прав для создания документа»</w:t>
      </w:r>
      <w:bookmarkEnd w:id="704"/>
      <w:r/>
      <w:bookmarkEnd w:id="705"/>
      <w:r/>
      <w:bookmarkEnd w:id="706"/>
      <w:r/>
      <w:bookmarkEnd w:id="708"/>
      <w:r/>
      <w:bookmarkEnd w:id="709"/>
      <w:r/>
      <w:r/>
    </w:p>
    <w:p>
      <w:pPr>
        <w:pStyle w:val="1296"/>
      </w:pPr>
      <w:r>
        <w:t xml:space="preserve">Ошибка при открытии формуляров</w:t>
      </w:r>
      <w:r>
        <w:t xml:space="preserve"> (рис. </w:t>
      </w:r>
      <w:r>
        <w:fldChar w:fldCharType="begin"/>
      </w:r>
      <w:r>
        <w:instrText xml:space="preserve"> REF _Ref530322458 \h </w:instrText>
      </w:r>
      <w:r>
        <w:instrText xml:space="preserve"> \* MERGEFORMAT </w:instrText>
      </w:r>
      <w:r>
        <w:fldChar w:fldCharType="separate"/>
      </w:r>
      <w:r>
        <w:t xml:space="preserve">45</w:t>
      </w:r>
      <w:r>
        <w:fldChar w:fldCharType="end"/>
      </w:r>
      <w:r>
        <w:t xml:space="preserve">, </w:t>
      </w:r>
      <w:r>
        <w:fldChar w:fldCharType="begin"/>
      </w:r>
      <w:r>
        <w:instrText xml:space="preserve"> REF _Ref530322496 \h </w:instrText>
      </w:r>
      <w:r>
        <w:instrText xml:space="preserve"> \* MERGEFORMAT </w:instrText>
      </w:r>
      <w:r>
        <w:fldChar w:fldCharType="separate"/>
      </w:r>
      <w:r>
        <w:t xml:space="preserve">46</w:t>
      </w:r>
      <w:r>
        <w:fldChar w:fldCharType="end"/>
      </w:r>
      <w:r>
        <w:t xml:space="preserve">).</w:t>
      </w:r>
      <w:r/>
    </w:p>
    <w:p>
      <w:pPr>
        <w:pStyle w:val="1293"/>
      </w:pPr>
      <w:r>
        <mc:AlternateContent>
          <mc:Choice Requires="wpg">
            <w:drawing>
              <wp:inline xmlns:wp="http://schemas.openxmlformats.org/drawingml/2006/wordprocessingDrawing" distT="0" distB="0" distL="0" distR="0">
                <wp:extent cx="2190750" cy="838200"/>
                <wp:effectExtent l="19050" t="19050" r="19050" b="19050"/>
                <wp:docPr id="102"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2"/>
                        <pic:cNvPicPr>
                          <a:picLocks noChangeAspect="1"/>
                        </pic:cNvPicPr>
                        <pic:nvPr/>
                      </pic:nvPicPr>
                      <pic:blipFill>
                        <a:blip r:embed="rId116"/>
                        <a:stretch/>
                      </pic:blipFill>
                      <pic:spPr bwMode="auto">
                        <a:xfrm>
                          <a:off x="0" y="0"/>
                          <a:ext cx="2190750" cy="838200"/>
                        </a:xfrm>
                        <a:prstGeom prst="rect">
                          <a:avLst/>
                        </a:prstGeom>
                        <a:solidFill>
                          <a:srgbClr val="FFFFFF"/>
                        </a:solidFill>
                        <a:ln w="6350" cmpd="sng">
                          <a:solidFill>
                            <a:srgbClr val="000000"/>
                          </a:solidFill>
                          <a:miter lim="800000"/>
                          <a:headEnd/>
                          <a:tailEnd/>
                        </a:ln>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1" o:spid="_x0000_s101" type="#_x0000_t75" style="width:172.50pt;height:66.00pt;mso-wrap-distance-left:0.00pt;mso-wrap-distance-top:0.00pt;mso-wrap-distance-right:0.00pt;mso-wrap-distance-bottom:0.00pt;" strokecolor="#000000" strokeweight="0.50pt">
                <v:path textboxrect="0,0,0,0"/>
                <v:imagedata r:id="rId116" o:title=""/>
              </v:shape>
            </w:pict>
          </mc:Fallback>
        </mc:AlternateContent>
      </w:r>
      <w:r/>
    </w:p>
    <w:p>
      <w:pPr>
        <w:pStyle w:val="1294"/>
      </w:pPr>
      <w:r/>
      <w:bookmarkStart w:id="710" w:name="_Toc523327072"/>
      <w:r/>
      <w:bookmarkStart w:id="711" w:name="_Toc523335230"/>
      <w:r>
        <w:fldChar w:fldCharType="begin"/>
      </w:r>
      <w:r>
        <w:instrText xml:space="preserve"> SEQ Рисунок \* ARABIC </w:instrText>
      </w:r>
      <w:r>
        <w:fldChar w:fldCharType="separate"/>
      </w:r>
      <w:bookmarkStart w:id="712" w:name="_Ref530322458"/>
      <w:r/>
      <w:bookmarkStart w:id="713" w:name="_Toc163797861"/>
      <w:r/>
      <w:bookmarkStart w:id="714" w:name="_Toc221869997"/>
      <w:r>
        <w:t xml:space="preserve">45</w:t>
      </w:r>
      <w:bookmarkEnd w:id="712"/>
      <w:r>
        <w:fldChar w:fldCharType="end"/>
      </w:r>
      <w:r>
        <w:t xml:space="preserve">.</w:t>
      </w:r>
      <w:r>
        <w:t xml:space="preserve"> Ошибка при открытии формуляров</w:t>
      </w:r>
      <w:bookmarkEnd w:id="710"/>
      <w:r/>
      <w:bookmarkEnd w:id="711"/>
      <w:r/>
      <w:bookmarkEnd w:id="713"/>
      <w:r/>
      <w:bookmarkEnd w:id="714"/>
      <w:r/>
      <w:r/>
    </w:p>
    <w:p>
      <w:pPr>
        <w:pStyle w:val="1293"/>
      </w:pPr>
      <w:r>
        <mc:AlternateContent>
          <mc:Choice Requires="wpg">
            <w:drawing>
              <wp:inline xmlns:wp="http://schemas.openxmlformats.org/drawingml/2006/wordprocessingDrawing" distT="0" distB="0" distL="0" distR="0">
                <wp:extent cx="3886200" cy="1000125"/>
                <wp:effectExtent l="19050" t="19050" r="19050" b="28575"/>
                <wp:docPr id="103"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3"/>
                        <pic:cNvPicPr>
                          <a:picLocks noChangeAspect="1"/>
                        </pic:cNvPicPr>
                        <pic:nvPr/>
                      </pic:nvPicPr>
                      <pic:blipFill>
                        <a:blip r:embed="rId117"/>
                        <a:stretch/>
                      </pic:blipFill>
                      <pic:spPr bwMode="auto">
                        <a:xfrm>
                          <a:off x="0" y="0"/>
                          <a:ext cx="3886200" cy="1000125"/>
                        </a:xfrm>
                        <a:prstGeom prst="rect">
                          <a:avLst/>
                        </a:prstGeom>
                        <a:solidFill>
                          <a:srgbClr val="FFFFFF"/>
                        </a:solidFill>
                        <a:ln w="6350" cmpd="sng">
                          <a:solidFill>
                            <a:srgbClr val="000000"/>
                          </a:solidFill>
                          <a:miter lim="800000"/>
                          <a:headEnd/>
                          <a:tailEnd/>
                        </a:ln>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2" o:spid="_x0000_s102" type="#_x0000_t75" style="width:306.00pt;height:78.75pt;mso-wrap-distance-left:0.00pt;mso-wrap-distance-top:0.00pt;mso-wrap-distance-right:0.00pt;mso-wrap-distance-bottom:0.00pt;" strokecolor="#000000" strokeweight="0.50pt">
                <v:path textboxrect="0,0,0,0"/>
                <v:imagedata r:id="rId117" o:title=""/>
              </v:shape>
            </w:pict>
          </mc:Fallback>
        </mc:AlternateContent>
      </w:r>
      <w:r/>
    </w:p>
    <w:p>
      <w:pPr>
        <w:pStyle w:val="1294"/>
      </w:pPr>
      <w:r/>
      <w:bookmarkStart w:id="715" w:name="_Toc523327073"/>
      <w:r/>
      <w:bookmarkStart w:id="716" w:name="_Toc523335231"/>
      <w:r>
        <w:fldChar w:fldCharType="begin"/>
      </w:r>
      <w:r>
        <w:instrText xml:space="preserve"> SEQ Рисунок \* ARABIC </w:instrText>
      </w:r>
      <w:r>
        <w:fldChar w:fldCharType="separate"/>
      </w:r>
      <w:bookmarkStart w:id="717" w:name="_Ref530322496"/>
      <w:r/>
      <w:bookmarkStart w:id="718" w:name="_Toc163797862"/>
      <w:r/>
      <w:bookmarkStart w:id="719" w:name="_Toc221869998"/>
      <w:r>
        <w:t xml:space="preserve">46</w:t>
      </w:r>
      <w:bookmarkEnd w:id="717"/>
      <w:r>
        <w:fldChar w:fldCharType="end"/>
      </w:r>
      <w:r>
        <w:t xml:space="preserve">.</w:t>
      </w:r>
      <w:r>
        <w:t xml:space="preserve"> Ошибка при открытии формуляров</w:t>
      </w:r>
      <w:bookmarkEnd w:id="715"/>
      <w:r/>
      <w:bookmarkEnd w:id="716"/>
      <w:r/>
      <w:bookmarkEnd w:id="718"/>
      <w:r/>
      <w:bookmarkEnd w:id="719"/>
      <w:r/>
      <w:r/>
    </w:p>
    <w:p>
      <w:pPr>
        <w:pStyle w:val="1296"/>
      </w:pPr>
      <w:r>
        <w:t xml:space="preserve">Ошибка при открытии фильтр-папок</w:t>
      </w:r>
      <w:r>
        <w:t xml:space="preserve"> (рис. </w:t>
      </w:r>
      <w:r>
        <w:fldChar w:fldCharType="begin"/>
      </w:r>
      <w:r>
        <w:instrText xml:space="preserve"> REF _Ref530322534 \h </w:instrText>
      </w:r>
      <w:r>
        <w:instrText xml:space="preserve"> \* MERGEFORMAT </w:instrText>
      </w:r>
      <w:r>
        <w:fldChar w:fldCharType="separate"/>
      </w:r>
      <w:r>
        <w:t xml:space="preserve">47</w:t>
      </w:r>
      <w:r>
        <w:fldChar w:fldCharType="end"/>
      </w:r>
      <w:r>
        <w:t xml:space="preserve">)</w:t>
      </w:r>
      <w:r>
        <w:t xml:space="preserve">.</w:t>
      </w:r>
      <w:r/>
    </w:p>
    <w:p>
      <w:pPr>
        <w:pStyle w:val="1293"/>
      </w:pPr>
      <w:r>
        <mc:AlternateContent>
          <mc:Choice Requires="wpg">
            <w:drawing>
              <wp:inline xmlns:wp="http://schemas.openxmlformats.org/drawingml/2006/wordprocessingDrawing" distT="0" distB="0" distL="0" distR="0">
                <wp:extent cx="2466975" cy="990600"/>
                <wp:effectExtent l="19050" t="19050" r="28575" b="19050"/>
                <wp:docPr id="104"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4"/>
                        <pic:cNvPicPr>
                          <a:picLocks noChangeAspect="1"/>
                        </pic:cNvPicPr>
                        <pic:nvPr/>
                      </pic:nvPicPr>
                      <pic:blipFill>
                        <a:blip r:embed="rId118"/>
                        <a:stretch/>
                      </pic:blipFill>
                      <pic:spPr bwMode="auto">
                        <a:xfrm>
                          <a:off x="0" y="0"/>
                          <a:ext cx="2466975" cy="990600"/>
                        </a:xfrm>
                        <a:prstGeom prst="rect">
                          <a:avLst/>
                        </a:prstGeom>
                        <a:solidFill>
                          <a:srgbClr val="FFFFFF"/>
                        </a:solidFill>
                        <a:ln w="6350" cmpd="sng">
                          <a:solidFill>
                            <a:srgbClr val="000000"/>
                          </a:solidFill>
                          <a:miter lim="800000"/>
                          <a:headEnd/>
                          <a:tailEnd/>
                        </a:ln>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3" o:spid="_x0000_s103" type="#_x0000_t75" style="width:194.25pt;height:78.00pt;mso-wrap-distance-left:0.00pt;mso-wrap-distance-top:0.00pt;mso-wrap-distance-right:0.00pt;mso-wrap-distance-bottom:0.00pt;" strokecolor="#000000" strokeweight="0.50pt">
                <v:path textboxrect="0,0,0,0"/>
                <v:imagedata r:id="rId118" o:title=""/>
              </v:shape>
            </w:pict>
          </mc:Fallback>
        </mc:AlternateContent>
      </w:r>
      <w:r/>
    </w:p>
    <w:p>
      <w:pPr>
        <w:pStyle w:val="1294"/>
      </w:pPr>
      <w:r/>
      <w:bookmarkStart w:id="720" w:name="_Toc523327074"/>
      <w:r/>
      <w:bookmarkStart w:id="721" w:name="_Toc523335232"/>
      <w:r>
        <w:fldChar w:fldCharType="begin"/>
      </w:r>
      <w:r>
        <w:instrText xml:space="preserve"> SEQ Рисунок \* ARABIC </w:instrText>
      </w:r>
      <w:r>
        <w:fldChar w:fldCharType="separate"/>
      </w:r>
      <w:bookmarkStart w:id="722" w:name="_Ref530322534"/>
      <w:r/>
      <w:bookmarkStart w:id="723" w:name="_Toc163797863"/>
      <w:r/>
      <w:bookmarkStart w:id="724" w:name="_Toc221869999"/>
      <w:r>
        <w:t xml:space="preserve">47</w:t>
      </w:r>
      <w:bookmarkEnd w:id="722"/>
      <w:r>
        <w:fldChar w:fldCharType="end"/>
      </w:r>
      <w:r>
        <w:t xml:space="preserve">.</w:t>
      </w:r>
      <w:r>
        <w:t xml:space="preserve"> Ошибка при открытии фильтр-папок</w:t>
      </w:r>
      <w:bookmarkEnd w:id="720"/>
      <w:r/>
      <w:bookmarkEnd w:id="721"/>
      <w:r/>
      <w:bookmarkEnd w:id="723"/>
      <w:r/>
      <w:bookmarkEnd w:id="724"/>
      <w:r/>
      <w:r/>
    </w:p>
    <w:p>
      <w:pPr>
        <w:pStyle w:val="1296"/>
        <w:keepNext/>
      </w:pPr>
      <w:r>
        <w:t xml:space="preserve">Ошибка плагина Java</w:t>
      </w:r>
      <w:r>
        <w:t xml:space="preserve"> (рис. </w:t>
      </w:r>
      <w:r>
        <w:fldChar w:fldCharType="begin"/>
      </w:r>
      <w:r>
        <w:instrText xml:space="preserve"> REF _Ref530322566 \h  \* MERGEFORMAT </w:instrText>
      </w:r>
      <w:r>
        <w:fldChar w:fldCharType="separate"/>
      </w:r>
      <w:r>
        <w:t xml:space="preserve">48</w:t>
      </w:r>
      <w:r>
        <w:fldChar w:fldCharType="end"/>
      </w:r>
      <w:r>
        <w:t xml:space="preserve">).</w:t>
      </w:r>
      <w:r/>
    </w:p>
    <w:p>
      <w:pPr>
        <w:pStyle w:val="1293"/>
      </w:pPr>
      <w:r>
        <mc:AlternateContent>
          <mc:Choice Requires="wpg">
            <w:drawing>
              <wp:inline xmlns:wp="http://schemas.openxmlformats.org/drawingml/2006/wordprocessingDrawing" distT="0" distB="0" distL="0" distR="0">
                <wp:extent cx="3749040" cy="1005840"/>
                <wp:effectExtent l="19050" t="19050" r="22860" b="22860"/>
                <wp:docPr id="105"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5"/>
                        <pic:cNvPicPr>
                          <a:picLocks noChangeAspect="1"/>
                        </pic:cNvPicPr>
                        <pic:nvPr/>
                      </pic:nvPicPr>
                      <pic:blipFill>
                        <a:blip r:embed="rId119"/>
                        <a:stretch/>
                      </pic:blipFill>
                      <pic:spPr bwMode="auto">
                        <a:xfrm>
                          <a:off x="0" y="0"/>
                          <a:ext cx="3749040" cy="1005840"/>
                        </a:xfrm>
                        <a:prstGeom prst="rect">
                          <a:avLst/>
                        </a:prstGeom>
                        <a:solidFill>
                          <a:srgbClr val="FFFFFF"/>
                        </a:solidFill>
                        <a:ln w="6350" cmpd="sng">
                          <a:solidFill>
                            <a:srgbClr val="000000"/>
                          </a:solidFill>
                          <a:miter lim="800000"/>
                          <a:headEnd/>
                          <a:tailEnd/>
                        </a:ln>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4" o:spid="_x0000_s104" type="#_x0000_t75" style="width:295.20pt;height:79.20pt;mso-wrap-distance-left:0.00pt;mso-wrap-distance-top:0.00pt;mso-wrap-distance-right:0.00pt;mso-wrap-distance-bottom:0.00pt;" strokecolor="#000000" strokeweight="0.50pt">
                <v:path textboxrect="0,0,0,0"/>
                <v:imagedata r:id="rId119" o:title=""/>
              </v:shape>
            </w:pict>
          </mc:Fallback>
        </mc:AlternateContent>
      </w:r>
      <w:r/>
    </w:p>
    <w:p>
      <w:pPr>
        <w:pStyle w:val="1294"/>
      </w:pPr>
      <w:r/>
      <w:bookmarkStart w:id="725" w:name="_Toc523327075"/>
      <w:r/>
      <w:bookmarkStart w:id="726" w:name="_Toc523335233"/>
      <w:r>
        <w:fldChar w:fldCharType="begin"/>
      </w:r>
      <w:r>
        <w:instrText xml:space="preserve"> SEQ Рисунок \* ARABIC </w:instrText>
      </w:r>
      <w:r>
        <w:fldChar w:fldCharType="separate"/>
      </w:r>
      <w:bookmarkStart w:id="727" w:name="_Ref530322566"/>
      <w:r/>
      <w:bookmarkStart w:id="728" w:name="_Toc163797864"/>
      <w:r/>
      <w:bookmarkStart w:id="729" w:name="_Toc221870000"/>
      <w:r>
        <w:t xml:space="preserve">48</w:t>
      </w:r>
      <w:bookmarkEnd w:id="727"/>
      <w:r>
        <w:fldChar w:fldCharType="end"/>
      </w:r>
      <w:r>
        <w:t xml:space="preserve">. </w:t>
      </w:r>
      <w:r>
        <w:t xml:space="preserve">Ошибка плагина Java</w:t>
      </w:r>
      <w:bookmarkEnd w:id="725"/>
      <w:r/>
      <w:bookmarkEnd w:id="726"/>
      <w:r/>
      <w:bookmarkEnd w:id="728"/>
      <w:r/>
      <w:bookmarkEnd w:id="729"/>
      <w:r/>
      <w:r/>
    </w:p>
    <w:p>
      <w:pPr>
        <w:pStyle w:val="1296"/>
      </w:pPr>
      <w:r>
        <w:t xml:space="preserve">Ошибка при работе Меню</w:t>
      </w:r>
      <w:r>
        <w:t xml:space="preserve"> (рис. </w:t>
      </w:r>
      <w:r>
        <w:fldChar w:fldCharType="begin"/>
      </w:r>
      <w:r>
        <w:instrText xml:space="preserve"> REF _Ref530322685 \h </w:instrText>
      </w:r>
      <w:r>
        <w:instrText xml:space="preserve"> \* MERGEFORMAT </w:instrText>
      </w:r>
      <w:r>
        <w:fldChar w:fldCharType="separate"/>
      </w:r>
      <w:r>
        <w:t xml:space="preserve">49</w:t>
      </w:r>
      <w:r>
        <w:fldChar w:fldCharType="end"/>
      </w:r>
      <w:r>
        <w:t xml:space="preserve">).</w:t>
      </w:r>
      <w:r/>
    </w:p>
    <w:p>
      <w:pPr>
        <w:pStyle w:val="1293"/>
      </w:pPr>
      <w:r>
        <mc:AlternateContent>
          <mc:Choice Requires="wpg">
            <w:drawing>
              <wp:inline xmlns:wp="http://schemas.openxmlformats.org/drawingml/2006/wordprocessingDrawing" distT="0" distB="0" distL="0" distR="0">
                <wp:extent cx="4663440" cy="2286000"/>
                <wp:effectExtent l="19050" t="19050" r="22860" b="19050"/>
                <wp:docPr id="106"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6"/>
                        <pic:cNvPicPr>
                          <a:picLocks noChangeAspect="1"/>
                        </pic:cNvPicPr>
                        <pic:nvPr/>
                      </pic:nvPicPr>
                      <pic:blipFill>
                        <a:blip r:embed="rId120"/>
                        <a:stretch/>
                      </pic:blipFill>
                      <pic:spPr bwMode="auto">
                        <a:xfrm>
                          <a:off x="0" y="0"/>
                          <a:ext cx="4663440" cy="2286000"/>
                        </a:xfrm>
                        <a:prstGeom prst="rect">
                          <a:avLst/>
                        </a:prstGeom>
                        <a:solidFill>
                          <a:srgbClr val="FFFFFF"/>
                        </a:solidFill>
                        <a:ln w="6350" cmpd="sng">
                          <a:solidFill>
                            <a:srgbClr val="000000"/>
                          </a:solidFill>
                          <a:miter lim="800000"/>
                          <a:headEnd/>
                          <a:tailEnd/>
                        </a:ln>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5" o:spid="_x0000_s105" type="#_x0000_t75" style="width:367.20pt;height:180.00pt;mso-wrap-distance-left:0.00pt;mso-wrap-distance-top:0.00pt;mso-wrap-distance-right:0.00pt;mso-wrap-distance-bottom:0.00pt;" strokecolor="#000000" strokeweight="0.50pt">
                <v:path textboxrect="0,0,0,0"/>
                <v:imagedata r:id="rId120" o:title=""/>
              </v:shape>
            </w:pict>
          </mc:Fallback>
        </mc:AlternateContent>
      </w:r>
      <w:r/>
    </w:p>
    <w:p>
      <w:pPr>
        <w:pStyle w:val="1294"/>
      </w:pPr>
      <w:r/>
      <w:bookmarkStart w:id="730" w:name="_Toc523327076"/>
      <w:r/>
      <w:bookmarkStart w:id="731" w:name="_Toc523335234"/>
      <w:r>
        <w:fldChar w:fldCharType="begin"/>
      </w:r>
      <w:r>
        <w:instrText xml:space="preserve"> SEQ Рисунок \* ARABIC </w:instrText>
      </w:r>
      <w:r>
        <w:fldChar w:fldCharType="separate"/>
      </w:r>
      <w:bookmarkStart w:id="732" w:name="_Ref530322685"/>
      <w:r/>
      <w:bookmarkStart w:id="733" w:name="_Toc163797865"/>
      <w:r/>
      <w:bookmarkStart w:id="734" w:name="_Toc221870001"/>
      <w:r>
        <w:t xml:space="preserve">49</w:t>
      </w:r>
      <w:bookmarkEnd w:id="732"/>
      <w:r>
        <w:fldChar w:fldCharType="end"/>
      </w:r>
      <w:r>
        <w:t xml:space="preserve">.</w:t>
      </w:r>
      <w:r>
        <w:t xml:space="preserve"> Ошибка при работе Меню</w:t>
      </w:r>
      <w:bookmarkEnd w:id="730"/>
      <w:r/>
      <w:bookmarkEnd w:id="731"/>
      <w:r/>
      <w:bookmarkEnd w:id="733"/>
      <w:r/>
      <w:bookmarkEnd w:id="734"/>
      <w:r/>
      <w:r/>
    </w:p>
    <w:p>
      <w:pPr>
        <w:pStyle w:val="1296"/>
      </w:pPr>
      <w:r>
        <w:t xml:space="preserve">Ошибка при создании копии документа</w:t>
      </w:r>
      <w:r>
        <w:t xml:space="preserve"> (рис. </w:t>
      </w:r>
      <w:r>
        <w:fldChar w:fldCharType="begin"/>
      </w:r>
      <w:r>
        <w:instrText xml:space="preserve"> REF _Ref530322717 \h </w:instrText>
      </w:r>
      <w:r>
        <w:instrText xml:space="preserve"> \* MERGEFORMAT </w:instrText>
      </w:r>
      <w:r>
        <w:fldChar w:fldCharType="separate"/>
      </w:r>
      <w:r>
        <w:t xml:space="preserve">50</w:t>
      </w:r>
      <w:r>
        <w:fldChar w:fldCharType="end"/>
      </w:r>
      <w:r>
        <w:t xml:space="preserve">).</w:t>
      </w:r>
      <w:r/>
    </w:p>
    <w:p>
      <w:pPr>
        <w:pStyle w:val="1293"/>
      </w:pPr>
      <w:r>
        <mc:AlternateContent>
          <mc:Choice Requires="wpg">
            <w:drawing>
              <wp:inline xmlns:wp="http://schemas.openxmlformats.org/drawingml/2006/wordprocessingDrawing" distT="0" distB="0" distL="0" distR="0">
                <wp:extent cx="2377440" cy="1463040"/>
                <wp:effectExtent l="19050" t="19050" r="22860" b="22860"/>
                <wp:docPr id="107"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7"/>
                        <pic:cNvPicPr>
                          <a:picLocks noChangeAspect="1"/>
                        </pic:cNvPicPr>
                        <pic:nvPr/>
                      </pic:nvPicPr>
                      <pic:blipFill>
                        <a:blip r:embed="rId121"/>
                        <a:stretch/>
                      </pic:blipFill>
                      <pic:spPr bwMode="auto">
                        <a:xfrm>
                          <a:off x="0" y="0"/>
                          <a:ext cx="2377440" cy="1463040"/>
                        </a:xfrm>
                        <a:prstGeom prst="rect">
                          <a:avLst/>
                        </a:prstGeom>
                        <a:solidFill>
                          <a:srgbClr val="FFFFFF"/>
                        </a:solidFill>
                        <a:ln w="6350" cmpd="sng">
                          <a:solidFill>
                            <a:srgbClr val="000000"/>
                          </a:solidFill>
                          <a:miter lim="800000"/>
                          <a:headEnd/>
                          <a:tailEnd/>
                        </a:ln>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6" o:spid="_x0000_s106" type="#_x0000_t75" style="width:187.20pt;height:115.20pt;mso-wrap-distance-left:0.00pt;mso-wrap-distance-top:0.00pt;mso-wrap-distance-right:0.00pt;mso-wrap-distance-bottom:0.00pt;" strokecolor="#000000" strokeweight="0.50pt">
                <v:path textboxrect="0,0,0,0"/>
                <v:imagedata r:id="rId121" o:title=""/>
              </v:shape>
            </w:pict>
          </mc:Fallback>
        </mc:AlternateContent>
      </w:r>
      <w:r/>
    </w:p>
    <w:p>
      <w:pPr>
        <w:pStyle w:val="1294"/>
      </w:pPr>
      <w:r/>
      <w:bookmarkStart w:id="735" w:name="_Toc523327077"/>
      <w:r/>
      <w:bookmarkStart w:id="736" w:name="_Toc523335235"/>
      <w:r>
        <w:fldChar w:fldCharType="begin"/>
      </w:r>
      <w:r>
        <w:instrText xml:space="preserve"> SEQ Рисунок \* ARABIC </w:instrText>
      </w:r>
      <w:r>
        <w:fldChar w:fldCharType="separate"/>
      </w:r>
      <w:bookmarkStart w:id="737" w:name="_Ref530322717"/>
      <w:r/>
      <w:bookmarkStart w:id="738" w:name="_Toc163797866"/>
      <w:r/>
      <w:bookmarkStart w:id="739" w:name="_Toc221870002"/>
      <w:r>
        <w:t xml:space="preserve">50</w:t>
      </w:r>
      <w:bookmarkEnd w:id="737"/>
      <w:r>
        <w:fldChar w:fldCharType="end"/>
      </w:r>
      <w:r>
        <w:t xml:space="preserve">.</w:t>
      </w:r>
      <w:r>
        <w:t xml:space="preserve"> Ошибка при создании копии документа</w:t>
      </w:r>
      <w:bookmarkEnd w:id="735"/>
      <w:r/>
      <w:bookmarkEnd w:id="736"/>
      <w:r/>
      <w:bookmarkEnd w:id="738"/>
      <w:r/>
      <w:bookmarkEnd w:id="739"/>
      <w:r/>
      <w:r/>
    </w:p>
    <w:p>
      <w:pPr>
        <w:pStyle w:val="1296"/>
      </w:pPr>
      <w:r>
        <w:t xml:space="preserve">Ошибка печати документа</w:t>
      </w:r>
      <w:r>
        <w:t xml:space="preserve"> (рис. </w:t>
      </w:r>
      <w:r>
        <w:fldChar w:fldCharType="begin"/>
      </w:r>
      <w:r>
        <w:instrText xml:space="preserve"> REF _Ref530322749 \h </w:instrText>
      </w:r>
      <w:r>
        <w:instrText xml:space="preserve"> \* MERGEFORMAT </w:instrText>
      </w:r>
      <w:r>
        <w:fldChar w:fldCharType="separate"/>
      </w:r>
      <w:r>
        <w:t xml:space="preserve">51</w:t>
      </w:r>
      <w:r>
        <w:fldChar w:fldCharType="end"/>
      </w:r>
      <w:r>
        <w:t xml:space="preserve">).</w:t>
      </w:r>
      <w:r/>
    </w:p>
    <w:p>
      <w:pPr>
        <w:pStyle w:val="1293"/>
      </w:pPr>
      <w:r>
        <mc:AlternateContent>
          <mc:Choice Requires="wpg">
            <w:drawing>
              <wp:inline xmlns:wp="http://schemas.openxmlformats.org/drawingml/2006/wordprocessingDrawing" distT="0" distB="0" distL="0" distR="0">
                <wp:extent cx="2377440" cy="914400"/>
                <wp:effectExtent l="19050" t="19050" r="22860" b="19050"/>
                <wp:docPr id="108"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8"/>
                        <pic:cNvPicPr>
                          <a:picLocks noChangeAspect="1"/>
                        </pic:cNvPicPr>
                        <pic:nvPr/>
                      </pic:nvPicPr>
                      <pic:blipFill>
                        <a:blip r:embed="rId122"/>
                        <a:stretch/>
                      </pic:blipFill>
                      <pic:spPr bwMode="auto">
                        <a:xfrm>
                          <a:off x="0" y="0"/>
                          <a:ext cx="2377440" cy="914400"/>
                        </a:xfrm>
                        <a:prstGeom prst="rect">
                          <a:avLst/>
                        </a:prstGeom>
                        <a:solidFill>
                          <a:srgbClr val="FFFFFF"/>
                        </a:solidFill>
                        <a:ln w="6350" cmpd="sng">
                          <a:solidFill>
                            <a:srgbClr val="000000"/>
                          </a:solidFill>
                          <a:miter lim="800000"/>
                          <a:headEnd/>
                          <a:tailEnd/>
                        </a:ln>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7" o:spid="_x0000_s107" type="#_x0000_t75" style="width:187.20pt;height:72.00pt;mso-wrap-distance-left:0.00pt;mso-wrap-distance-top:0.00pt;mso-wrap-distance-right:0.00pt;mso-wrap-distance-bottom:0.00pt;" strokecolor="#000000" strokeweight="0.50pt">
                <v:path textboxrect="0,0,0,0"/>
                <v:imagedata r:id="rId122" o:title=""/>
              </v:shape>
            </w:pict>
          </mc:Fallback>
        </mc:AlternateContent>
      </w:r>
      <w:r/>
    </w:p>
    <w:p>
      <w:pPr>
        <w:pStyle w:val="1294"/>
      </w:pPr>
      <w:r/>
      <w:bookmarkStart w:id="740" w:name="_Toc523327078"/>
      <w:r/>
      <w:bookmarkStart w:id="741" w:name="_Toc523335236"/>
      <w:r>
        <w:fldChar w:fldCharType="begin"/>
      </w:r>
      <w:r>
        <w:instrText xml:space="preserve"> SEQ Рисунок \* ARABIC </w:instrText>
      </w:r>
      <w:r>
        <w:fldChar w:fldCharType="separate"/>
      </w:r>
      <w:bookmarkStart w:id="742" w:name="_Ref530322749"/>
      <w:r/>
      <w:bookmarkStart w:id="743" w:name="_Toc163797867"/>
      <w:r/>
      <w:bookmarkStart w:id="744" w:name="_Toc221870003"/>
      <w:r>
        <w:t xml:space="preserve">51</w:t>
      </w:r>
      <w:bookmarkEnd w:id="742"/>
      <w:r>
        <w:fldChar w:fldCharType="end"/>
      </w:r>
      <w:r>
        <w:t xml:space="preserve">.</w:t>
      </w:r>
      <w:r>
        <w:t xml:space="preserve"> Ошибка печати документа</w:t>
      </w:r>
      <w:bookmarkEnd w:id="740"/>
      <w:r/>
      <w:bookmarkEnd w:id="741"/>
      <w:r/>
      <w:bookmarkEnd w:id="743"/>
      <w:r/>
      <w:bookmarkEnd w:id="744"/>
      <w:r/>
      <w:r/>
    </w:p>
    <w:p>
      <w:pPr>
        <w:pStyle w:val="1296"/>
        <w:keepNext/>
      </w:pPr>
      <w:r>
        <w:t xml:space="preserve">Ошибка при подписании документа ЭП</w:t>
      </w:r>
      <w:r>
        <w:t xml:space="preserve"> (рис. </w:t>
      </w:r>
      <w:r>
        <w:fldChar w:fldCharType="begin"/>
      </w:r>
      <w:r>
        <w:instrText xml:space="preserve"> REF _Ref530322790 \h </w:instrText>
      </w:r>
      <w:r>
        <w:instrText xml:space="preserve"> \* MERGEFORMAT </w:instrText>
      </w:r>
      <w:r>
        <w:fldChar w:fldCharType="separate"/>
      </w:r>
      <w:r>
        <w:t xml:space="preserve">52</w:t>
      </w:r>
      <w:r>
        <w:fldChar w:fldCharType="end"/>
      </w:r>
      <w:r>
        <w:t xml:space="preserve">).</w:t>
      </w:r>
      <w:r/>
    </w:p>
    <w:p>
      <w:pPr>
        <w:pStyle w:val="1293"/>
      </w:pPr>
      <w:r>
        <mc:AlternateContent>
          <mc:Choice Requires="wpg">
            <w:drawing>
              <wp:inline xmlns:wp="http://schemas.openxmlformats.org/drawingml/2006/wordprocessingDrawing" distT="0" distB="0" distL="0" distR="0">
                <wp:extent cx="4206240" cy="2834640"/>
                <wp:effectExtent l="19050" t="19050" r="22860" b="22860"/>
                <wp:docPr id="109"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9"/>
                        <pic:cNvPicPr>
                          <a:picLocks noChangeAspect="1"/>
                        </pic:cNvPicPr>
                        <pic:nvPr/>
                      </pic:nvPicPr>
                      <pic:blipFill>
                        <a:blip r:embed="rId123"/>
                        <a:stretch/>
                      </pic:blipFill>
                      <pic:spPr bwMode="auto">
                        <a:xfrm>
                          <a:off x="0" y="0"/>
                          <a:ext cx="4206240" cy="2834640"/>
                        </a:xfrm>
                        <a:prstGeom prst="rect">
                          <a:avLst/>
                        </a:prstGeom>
                        <a:solidFill>
                          <a:srgbClr val="FFFFFF"/>
                        </a:solidFill>
                        <a:ln w="6350" cmpd="sng">
                          <a:solidFill>
                            <a:srgbClr val="000000"/>
                          </a:solidFill>
                          <a:miter lim="800000"/>
                          <a:headEnd/>
                          <a:tailEnd/>
                        </a:ln>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8" o:spid="_x0000_s108" type="#_x0000_t75" style="width:331.20pt;height:223.20pt;mso-wrap-distance-left:0.00pt;mso-wrap-distance-top:0.00pt;mso-wrap-distance-right:0.00pt;mso-wrap-distance-bottom:0.00pt;" strokecolor="#000000" strokeweight="0.50pt">
                <v:path textboxrect="0,0,0,0"/>
                <v:imagedata r:id="rId123" o:title=""/>
              </v:shape>
            </w:pict>
          </mc:Fallback>
        </mc:AlternateContent>
      </w:r>
      <w:r/>
    </w:p>
    <w:p>
      <w:pPr>
        <w:pStyle w:val="1294"/>
      </w:pPr>
      <w:r/>
      <w:bookmarkStart w:id="745" w:name="_Toc523327079"/>
      <w:r/>
      <w:bookmarkStart w:id="746" w:name="_Toc523335237"/>
      <w:r>
        <w:fldChar w:fldCharType="begin"/>
      </w:r>
      <w:r>
        <w:instrText xml:space="preserve"> SEQ Рисунок \* ARABIC </w:instrText>
      </w:r>
      <w:r>
        <w:fldChar w:fldCharType="separate"/>
      </w:r>
      <w:bookmarkStart w:id="747" w:name="_Ref530322790"/>
      <w:r/>
      <w:bookmarkStart w:id="748" w:name="_Toc163797868"/>
      <w:r/>
      <w:bookmarkStart w:id="749" w:name="_Toc221870004"/>
      <w:r>
        <w:t xml:space="preserve">52</w:t>
      </w:r>
      <w:bookmarkEnd w:id="747"/>
      <w:r>
        <w:fldChar w:fldCharType="end"/>
      </w:r>
      <w:r>
        <w:t xml:space="preserve">.</w:t>
      </w:r>
      <w:r>
        <w:t xml:space="preserve"> Ошибка при подписании документа ЭП</w:t>
      </w:r>
      <w:bookmarkEnd w:id="745"/>
      <w:r/>
      <w:bookmarkEnd w:id="746"/>
      <w:r/>
      <w:bookmarkEnd w:id="748"/>
      <w:r/>
      <w:bookmarkEnd w:id="749"/>
      <w:r/>
      <w:r/>
    </w:p>
    <w:p>
      <w:pPr>
        <w:pStyle w:val="1306"/>
      </w:pPr>
      <w:r>
        <w:t xml:space="preserve">Заявку можно зарегистрировать одним из следующих способов:</w:t>
      </w:r>
      <w:r/>
    </w:p>
    <w:p>
      <w:pPr>
        <w:pStyle w:val="1296"/>
      </w:pPr>
      <w:r>
        <w:t xml:space="preserve">позвонить оператору ЕКЦ ФК по </w:t>
      </w:r>
      <w:bookmarkStart w:id="750" w:name="телефону"/>
      <w:r>
        <w:t xml:space="preserve">многоканальному телефон</w:t>
      </w:r>
      <w:bookmarkEnd w:id="750"/>
      <w:r>
        <w:t xml:space="preserve">у 8 (800) 222-27-77;</w:t>
      </w:r>
      <w:r/>
    </w:p>
    <w:p>
      <w:pPr>
        <w:pStyle w:val="1296"/>
      </w:pPr>
      <w:r>
        <w:t xml:space="preserve">отправить электронное письмо на адрес support_EB@roskazna.ru;</w:t>
      </w:r>
      <w:r/>
    </w:p>
    <w:p>
      <w:pPr>
        <w:pStyle w:val="1296"/>
      </w:pPr>
      <w:r>
        <w:t xml:space="preserve">сообщить о проблеме из Личного кабинета Пользователя ГИИС «Электронный бюджет».</w:t>
      </w:r>
      <w:r/>
    </w:p>
    <w:p>
      <w:pPr>
        <w:pStyle w:val="1305"/>
      </w:pPr>
      <w:r>
        <w:t xml:space="preserve">Успешность регистрации заявки в СУЭ ФК подтверждается автоматической отправкой почтового сообщения с номером зарегистрированного обращения СУЭ ФК на электронную почту Пользователя, которую он указывает при регистрации сообщения об ошибке. Кон</w:t>
      </w:r>
      <w:r>
        <w:t xml:space="preserve">троль получения почтового уведомления о регистрации Заявки лежит на Пользователе. В случае неполучения подобного уведомления, Пользователь должен обратиться в ЕКЦ ФК.</w:t>
      </w:r>
      <w:r/>
    </w:p>
    <w:p>
      <w:pPr>
        <w:pStyle w:val="1305"/>
      </w:pPr>
      <w:r>
        <w:t xml:space="preserve">Более подробный регламент «Стандарты обслуживания ИТ-систем ФК», размещенному на официальном сайте Федерального казначейства в сети Интернет (</w:t>
      </w:r>
      <w:r>
        <w:t xml:space="preserve">www.roskazna.gov.ru</w:t>
      </w:r>
      <w:r>
        <w:t xml:space="preserve">) в подразделе ГИС/Документы </w:t>
      </w:r>
      <w:r>
        <w:t xml:space="preserve">(</w:t>
      </w:r>
      <w:hyperlink r:id="rId124" w:tooltip="https://roskazna.gov.ru/gis/dokumenty/" w:history="1">
        <w:r>
          <w:rPr>
            <w:rStyle w:val="1331"/>
          </w:rPr>
          <w:t xml:space="preserve">http</w:t>
        </w:r>
        <w:r>
          <w:rPr>
            <w:rStyle w:val="1331"/>
            <w:lang w:val="en-US"/>
          </w:rPr>
          <w:t xml:space="preserve">s</w:t>
        </w:r>
        <w:r>
          <w:rPr>
            <w:rStyle w:val="1331"/>
          </w:rPr>
          <w:t xml:space="preserve">://roskazna.</w:t>
        </w:r>
        <w:r>
          <w:rPr>
            <w:rStyle w:val="1331"/>
            <w:lang w:val="en-US"/>
          </w:rPr>
          <w:t xml:space="preserve">gov</w:t>
        </w:r>
        <w:r>
          <w:rPr>
            <w:rStyle w:val="1331"/>
          </w:rPr>
          <w:t xml:space="preserve">.ru/gis/dokumenty/</w:t>
        </w:r>
      </w:hyperlink>
      <w:r>
        <w:t xml:space="preserve">)</w:t>
      </w:r>
      <w:r>
        <w:t xml:space="preserve">.</w:t>
      </w:r>
      <w:r/>
    </w:p>
    <w:p>
      <w:pPr>
        <w:pStyle w:val="1467"/>
        <w:numPr>
          <w:ilvl w:val="0"/>
          <w:numId w:val="0"/>
        </w:numPr>
        <w:ind w:left="567"/>
      </w:pPr>
      <w:r/>
      <w:r/>
    </w:p>
    <w:p>
      <w:pPr>
        <w:pStyle w:val="1305"/>
        <w:ind w:firstLine="0"/>
        <w:sectPr>
          <w:headerReference w:type="default" r:id="rId10"/>
          <w:footerReference w:type="default" r:id="rId14"/>
          <w:footnotePr/>
          <w:endnotePr/>
          <w:type w:val="nextPage"/>
          <w:pgSz w:w="11906" w:h="16838" w:orient="portrait"/>
          <w:pgMar w:top="1134" w:right="567" w:bottom="851" w:left="1701" w:header="567" w:footer="284" w:gutter="0"/>
          <w:pgNumType w:start="2"/>
          <w:cols w:num="1" w:sep="0" w:space="708" w:equalWidth="1"/>
          <w:docGrid w:linePitch="360"/>
        </w:sectPr>
      </w:pPr>
      <w:r/>
      <w:r/>
    </w:p>
    <w:p>
      <w:pPr>
        <w:pStyle w:val="1326"/>
      </w:pPr>
      <w:r/>
      <w:bookmarkStart w:id="751" w:name="_Toc22287369"/>
      <w:r>
        <w:fldChar w:fldCharType="begin"/>
      </w:r>
      <w:r>
        <w:instrText xml:space="preserve"> SEQ Приложение \* ARABIC </w:instrText>
      </w:r>
      <w:r>
        <w:fldChar w:fldCharType="separate"/>
      </w:r>
      <w:bookmarkStart w:id="752" w:name="_Ref94687264"/>
      <w:r/>
      <w:bookmarkStart w:id="753" w:name="_Toc221869938"/>
      <w:r>
        <w:t xml:space="preserve">1</w:t>
      </w:r>
      <w:bookmarkEnd w:id="752"/>
      <w:r>
        <w:fldChar w:fldCharType="end"/>
      </w:r>
      <w:r>
        <w:t xml:space="preserve">. </w:t>
      </w:r>
      <w:bookmarkEnd w:id="751"/>
      <w:r>
        <w:t xml:space="preserve">Схем</w:t>
      </w:r>
      <w:r>
        <w:t xml:space="preserve">ы</w:t>
      </w:r>
      <w:r>
        <w:t xml:space="preserve"> взаимодействия клиентов и ТОФК</w:t>
      </w:r>
      <w:bookmarkEnd w:id="753"/>
      <w:r/>
      <w:r/>
    </w:p>
    <w:p>
      <w:pPr>
        <w:pStyle w:val="1293"/>
      </w:pPr>
      <w:r>
        <mc:AlternateContent>
          <mc:Choice Requires="wpg">
            <w:drawing>
              <wp:inline xmlns:wp="http://schemas.openxmlformats.org/drawingml/2006/wordprocessingDrawing" distT="0" distB="0" distL="0" distR="0">
                <wp:extent cx="7742213" cy="3861193"/>
                <wp:effectExtent l="0" t="0" r="0" b="0"/>
                <wp:docPr id="11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r/>
                      </pic:nvPicPr>
                      <pic:blipFill>
                        <a:blip r:embed="rId125"/>
                        <a:stretch/>
                      </pic:blipFill>
                      <pic:spPr bwMode="auto">
                        <a:xfrm>
                          <a:off x="0" y="0"/>
                          <a:ext cx="7799552" cy="388978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9" o:spid="_x0000_s109" type="#_x0000_t75" style="width:609.62pt;height:304.03pt;mso-wrap-distance-left:0.00pt;mso-wrap-distance-top:0.00pt;mso-wrap-distance-right:0.00pt;mso-wrap-distance-bottom:0.00pt;" stroked="f">
                <v:path textboxrect="0,0,0,0"/>
                <v:imagedata r:id="rId125" o:title=""/>
              </v:shape>
            </w:pict>
          </mc:Fallback>
        </mc:AlternateContent>
      </w:r>
      <w:r/>
    </w:p>
    <w:p>
      <w:pPr>
        <w:pStyle w:val="1294"/>
      </w:pPr>
      <w:r>
        <w:fldChar w:fldCharType="begin"/>
      </w:r>
      <w:r>
        <w:instrText xml:space="preserve"> SEQ Рисунок \* ARABIC </w:instrText>
      </w:r>
      <w:r>
        <w:fldChar w:fldCharType="separate"/>
      </w:r>
      <w:bookmarkStart w:id="754" w:name="_Toc163797869"/>
      <w:r/>
      <w:bookmarkStart w:id="755" w:name="_Toc221870005"/>
      <w:r>
        <w:t xml:space="preserve">53</w:t>
      </w:r>
      <w:r>
        <w:fldChar w:fldCharType="end"/>
      </w:r>
      <w:r>
        <w:t xml:space="preserve">.</w:t>
      </w:r>
      <w:r>
        <w:t xml:space="preserve"> Схема (1) взаимодействия клиентов и ТОФК (ТОФК по месту нахождения/обращения клиента, Центров специализации) при резервировании и открытии «единых» лицевых счетов (разделов на лицевых счетах)</w:t>
      </w:r>
      <w:bookmarkEnd w:id="754"/>
      <w:r/>
      <w:bookmarkEnd w:id="755"/>
      <w:r/>
      <w:r/>
    </w:p>
    <w:p>
      <w:pPr>
        <w:pStyle w:val="1305"/>
      </w:pPr>
      <w:r>
        <w:t xml:space="preserve">* Подключение к личному кабинету осуществляется в установленном порядке в информационных системах Федерального казначейства.</w:t>
      </w:r>
      <w:r/>
    </w:p>
    <w:p>
      <w:pPr>
        <w:pStyle w:val="1305"/>
      </w:pPr>
      <w:r>
        <w:t xml:space="preserve">** В случаях, предусмотренных приказом</w:t>
      </w:r>
      <w:r>
        <w:t xml:space="preserve"> Минфина России от 23.12.2014</w:t>
      </w:r>
      <w:r>
        <w:t xml:space="preserve"> </w:t>
      </w:r>
      <w:r>
        <w:t xml:space="preserve">№ </w:t>
      </w:r>
      <w:r>
        <w:t xml:space="preserve">163н.</w:t>
      </w:r>
      <w:r/>
    </w:p>
    <w:p>
      <w:pPr>
        <w:pStyle w:val="1305"/>
      </w:pPr>
      <w:r>
        <w:t xml:space="preserve">*** В случае, если документ-основание не подлежит размещению в ГИИС «Электронный бюджет» либо в ЕИС.</w:t>
      </w:r>
      <w:r/>
    </w:p>
    <w:p>
      <w:pPr>
        <w:pStyle w:val="1293"/>
      </w:pPr>
      <w:r>
        <mc:AlternateContent>
          <mc:Choice Requires="wpg">
            <w:drawing>
              <wp:inline xmlns:wp="http://schemas.openxmlformats.org/drawingml/2006/wordprocessingDrawing" distT="0" distB="0" distL="0" distR="0">
                <wp:extent cx="8796526" cy="4431462"/>
                <wp:effectExtent l="0" t="0" r="5080" b="7620"/>
                <wp:docPr id="11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pic:cNvPicPr>
                        <pic:nvPr/>
                      </pic:nvPicPr>
                      <pic:blipFill>
                        <a:blip r:embed="rId126"/>
                        <a:stretch/>
                      </pic:blipFill>
                      <pic:spPr bwMode="auto">
                        <a:xfrm>
                          <a:off x="0" y="0"/>
                          <a:ext cx="8813081" cy="443980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0" o:spid="_x0000_s110" type="#_x0000_t75" style="width:692.64pt;height:348.93pt;mso-wrap-distance-left:0.00pt;mso-wrap-distance-top:0.00pt;mso-wrap-distance-right:0.00pt;mso-wrap-distance-bottom:0.00pt;" stroked="f">
                <v:path textboxrect="0,0,0,0"/>
                <v:imagedata r:id="rId126" o:title=""/>
              </v:shape>
            </w:pict>
          </mc:Fallback>
        </mc:AlternateContent>
      </w:r>
      <w:r/>
    </w:p>
    <w:p>
      <w:pPr>
        <w:pStyle w:val="1294"/>
      </w:pPr>
      <w:r>
        <w:fldChar w:fldCharType="begin"/>
      </w:r>
      <w:r>
        <w:instrText xml:space="preserve"> SEQ Рисунок \* ARABIC </w:instrText>
      </w:r>
      <w:r>
        <w:fldChar w:fldCharType="separate"/>
      </w:r>
      <w:bookmarkStart w:id="756" w:name="_Toc163797870"/>
      <w:r/>
      <w:bookmarkStart w:id="757" w:name="_Toc221870006"/>
      <w:r>
        <w:t xml:space="preserve">54</w:t>
      </w:r>
      <w:r>
        <w:fldChar w:fldCharType="end"/>
      </w:r>
      <w:r>
        <w:t xml:space="preserve">. Схема (2) взаимодействия клиентов и ТОФК (ТОФК по месту нахождения/обращения клиента, Центров специализации) при резервировании и открытии «единых» лицевых счетов (разделов на лицевых счетах)</w:t>
      </w:r>
      <w:bookmarkEnd w:id="756"/>
      <w:r/>
      <w:bookmarkEnd w:id="757"/>
      <w:r/>
      <w:r/>
    </w:p>
    <w:p>
      <w:pPr>
        <w:pStyle w:val="1305"/>
      </w:pPr>
      <w:r>
        <w:t xml:space="preserve">* В случаях, предусмотренных приказом</w:t>
      </w:r>
      <w:r>
        <w:t xml:space="preserve"> Минфина России от 23.12.2014</w:t>
      </w:r>
      <w:r>
        <w:t xml:space="preserve"> </w:t>
      </w:r>
      <w:r>
        <w:t xml:space="preserve">№ </w:t>
      </w:r>
      <w:r>
        <w:t xml:space="preserve">163н.</w:t>
      </w:r>
      <w:r/>
    </w:p>
    <w:p>
      <w:pPr>
        <w:pStyle w:val="1293"/>
      </w:pPr>
      <w:r>
        <mc:AlternateContent>
          <mc:Choice Requires="wpg">
            <w:drawing>
              <wp:inline xmlns:wp="http://schemas.openxmlformats.org/drawingml/2006/wordprocessingDrawing" distT="0" distB="0" distL="0" distR="0">
                <wp:extent cx="9422130" cy="4540250"/>
                <wp:effectExtent l="0" t="0" r="7620" b="0"/>
                <wp:docPr id="11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r/>
                      </pic:nvPicPr>
                      <pic:blipFill>
                        <a:blip r:embed="rId127"/>
                        <a:stretch/>
                      </pic:blipFill>
                      <pic:spPr bwMode="auto">
                        <a:xfrm>
                          <a:off x="0" y="0"/>
                          <a:ext cx="9422130" cy="45402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1" o:spid="_x0000_s111" type="#_x0000_t75" style="width:741.90pt;height:357.50pt;mso-wrap-distance-left:0.00pt;mso-wrap-distance-top:0.00pt;mso-wrap-distance-right:0.00pt;mso-wrap-distance-bottom:0.00pt;" stroked="f">
                <v:path textboxrect="0,0,0,0"/>
                <v:imagedata r:id="rId127" o:title=""/>
              </v:shape>
            </w:pict>
          </mc:Fallback>
        </mc:AlternateContent>
      </w:r>
      <w:r/>
    </w:p>
    <w:p>
      <w:pPr>
        <w:pStyle w:val="1294"/>
      </w:pPr>
      <w:r>
        <w:fldChar w:fldCharType="begin"/>
      </w:r>
      <w:r>
        <w:instrText xml:space="preserve"> SEQ Рисунок \* ARABIC </w:instrText>
      </w:r>
      <w:r>
        <w:fldChar w:fldCharType="separate"/>
      </w:r>
      <w:bookmarkStart w:id="758" w:name="_Toc163797871"/>
      <w:r/>
      <w:bookmarkStart w:id="759" w:name="_Toc221870007"/>
      <w:r>
        <w:t xml:space="preserve">55</w:t>
      </w:r>
      <w:r>
        <w:fldChar w:fldCharType="end"/>
      </w:r>
      <w:r>
        <w:t xml:space="preserve">. Схема (3) взаимодействия клиентов и ТОФК (ТОФК по месту нахождения/обращения клиента, Центров специализации, платежных центров) при осуществлении операций на «единых» лицевых счетах</w:t>
      </w:r>
      <w:bookmarkEnd w:id="758"/>
      <w:r/>
      <w:bookmarkEnd w:id="759"/>
      <w:r/>
      <w:r/>
    </w:p>
    <w:p>
      <w:pPr>
        <w:pStyle w:val="1293"/>
      </w:pPr>
      <w:r>
        <mc:AlternateContent>
          <mc:Choice Requires="wpg">
            <w:drawing>
              <wp:inline xmlns:wp="http://schemas.openxmlformats.org/drawingml/2006/wordprocessingDrawing" distT="0" distB="0" distL="0" distR="0">
                <wp:extent cx="9430385" cy="4810760"/>
                <wp:effectExtent l="0" t="0" r="0" b="8890"/>
                <wp:docPr id="11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r/>
                      </pic:nvPicPr>
                      <pic:blipFill>
                        <a:blip r:embed="rId128"/>
                        <a:stretch/>
                      </pic:blipFill>
                      <pic:spPr bwMode="auto">
                        <a:xfrm>
                          <a:off x="0" y="0"/>
                          <a:ext cx="9430385" cy="481076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2" o:spid="_x0000_s112" type="#_x0000_t75" style="width:742.55pt;height:378.80pt;mso-wrap-distance-left:0.00pt;mso-wrap-distance-top:0.00pt;mso-wrap-distance-right:0.00pt;mso-wrap-distance-bottom:0.00pt;" stroked="f">
                <v:path textboxrect="0,0,0,0"/>
                <v:imagedata r:id="rId128" o:title=""/>
              </v:shape>
            </w:pict>
          </mc:Fallback>
        </mc:AlternateContent>
      </w:r>
      <w:r/>
    </w:p>
    <w:p>
      <w:pPr>
        <w:pStyle w:val="1294"/>
      </w:pPr>
      <w:r>
        <w:fldChar w:fldCharType="begin"/>
      </w:r>
      <w:r>
        <w:instrText xml:space="preserve"> SEQ Рисунок \* ARABIC </w:instrText>
      </w:r>
      <w:r>
        <w:fldChar w:fldCharType="separate"/>
      </w:r>
      <w:bookmarkStart w:id="760" w:name="_Toc163797872"/>
      <w:r/>
      <w:bookmarkStart w:id="761" w:name="_Toc221870008"/>
      <w:r>
        <w:t xml:space="preserve">56</w:t>
      </w:r>
      <w:r>
        <w:fldChar w:fldCharType="end"/>
      </w:r>
      <w:r>
        <w:t xml:space="preserve">. Схема (4) взаимодействия клиентов и ТОФК (ТОФК по месту нахождения/обращения клиента, Центров специализации, платежных центров) при осуществлении операций на «единых» лицевых счетах</w:t>
      </w:r>
      <w:bookmarkEnd w:id="760"/>
      <w:r/>
      <w:bookmarkEnd w:id="761"/>
      <w:r/>
      <w:r/>
    </w:p>
    <w:p>
      <w:pPr>
        <w:pStyle w:val="1326"/>
      </w:pPr>
      <w:r>
        <w:fldChar w:fldCharType="begin"/>
      </w:r>
      <w:r>
        <w:instrText xml:space="preserve"> SEQ Приложение \* ARABIC </w:instrText>
      </w:r>
      <w:r>
        <w:fldChar w:fldCharType="separate"/>
      </w:r>
      <w:bookmarkStart w:id="762" w:name="_Ref94687225"/>
      <w:r/>
      <w:bookmarkStart w:id="763" w:name="_Toc221869939"/>
      <w:r>
        <w:t xml:space="preserve">2</w:t>
      </w:r>
      <w:bookmarkEnd w:id="762"/>
      <w:r>
        <w:fldChar w:fldCharType="end"/>
      </w:r>
      <w:r>
        <w:t xml:space="preserve">. Схемы привязки «Платежный центр – Центр специализации – ТОФК»</w:t>
      </w:r>
      <w:bookmarkEnd w:id="763"/>
      <w:r/>
      <w:r/>
    </w:p>
    <w:p>
      <w:pPr>
        <w:pStyle w:val="1293"/>
      </w:pPr>
      <w:r>
        <mc:AlternateContent>
          <mc:Choice Requires="wpg">
            <w:drawing>
              <wp:inline xmlns:wp="http://schemas.openxmlformats.org/drawingml/2006/wordprocessingDrawing" distT="0" distB="0" distL="0" distR="0">
                <wp:extent cx="7910254" cy="4377518"/>
                <wp:effectExtent l="0" t="0" r="0" b="0"/>
                <wp:docPr id="11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r/>
                      </pic:nvPicPr>
                      <pic:blipFill>
                        <a:blip r:embed="rId129"/>
                        <a:stretch/>
                      </pic:blipFill>
                      <pic:spPr bwMode="auto">
                        <a:xfrm>
                          <a:off x="0" y="0"/>
                          <a:ext cx="7929323" cy="438807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3" o:spid="_x0000_s113" type="#_x0000_t75" style="width:622.85pt;height:344.69pt;mso-wrap-distance-left:0.00pt;mso-wrap-distance-top:0.00pt;mso-wrap-distance-right:0.00pt;mso-wrap-distance-bottom:0.00pt;" stroked="f">
                <v:path textboxrect="0,0,0,0"/>
                <v:imagedata r:id="rId129" o:title=""/>
              </v:shape>
            </w:pict>
          </mc:Fallback>
        </mc:AlternateContent>
      </w:r>
      <w:r/>
    </w:p>
    <w:p>
      <w:pPr>
        <w:pStyle w:val="1294"/>
      </w:pPr>
      <w:r>
        <w:fldChar w:fldCharType="begin"/>
      </w:r>
      <w:r>
        <w:instrText xml:space="preserve"> SEQ Рисунок \* ARABIC </w:instrText>
      </w:r>
      <w:r>
        <w:fldChar w:fldCharType="separate"/>
      </w:r>
      <w:bookmarkStart w:id="764" w:name="_Toc163797873"/>
      <w:r/>
      <w:bookmarkStart w:id="765" w:name="_Toc221870009"/>
      <w:r>
        <w:t xml:space="preserve">57</w:t>
      </w:r>
      <w:r>
        <w:fldChar w:fldCharType="end"/>
      </w:r>
      <w:r>
        <w:t xml:space="preserve">. Схема (1) привязки «Платежный центр – Центр специализации – ТОФК»</w:t>
      </w:r>
      <w:bookmarkEnd w:id="764"/>
      <w:r/>
      <w:bookmarkEnd w:id="765"/>
      <w:r/>
      <w:r/>
    </w:p>
    <w:p>
      <w:pPr>
        <w:pStyle w:val="1293"/>
      </w:pPr>
      <w:r>
        <mc:AlternateContent>
          <mc:Choice Requires="wpg">
            <w:drawing>
              <wp:inline xmlns:wp="http://schemas.openxmlformats.org/drawingml/2006/wordprocessingDrawing" distT="0" distB="0" distL="0" distR="0">
                <wp:extent cx="9422130" cy="3498850"/>
                <wp:effectExtent l="0" t="0" r="7620" b="6350"/>
                <wp:docPr id="11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pic:cNvPicPr>
                        <pic:nvPr/>
                      </pic:nvPicPr>
                      <pic:blipFill>
                        <a:blip r:embed="rId130"/>
                        <a:stretch/>
                      </pic:blipFill>
                      <pic:spPr bwMode="auto">
                        <a:xfrm>
                          <a:off x="0" y="0"/>
                          <a:ext cx="9422130" cy="34988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4" o:spid="_x0000_s114" type="#_x0000_t75" style="width:741.90pt;height:275.50pt;mso-wrap-distance-left:0.00pt;mso-wrap-distance-top:0.00pt;mso-wrap-distance-right:0.00pt;mso-wrap-distance-bottom:0.00pt;" stroked="f">
                <v:path textboxrect="0,0,0,0"/>
                <v:imagedata r:id="rId130" o:title=""/>
              </v:shape>
            </w:pict>
          </mc:Fallback>
        </mc:AlternateContent>
      </w:r>
      <w:r/>
    </w:p>
    <w:p>
      <w:pPr>
        <w:pStyle w:val="1294"/>
      </w:pPr>
      <w:r>
        <w:fldChar w:fldCharType="begin"/>
      </w:r>
      <w:r>
        <w:instrText xml:space="preserve"> SEQ Рисунок \* ARABIC </w:instrText>
      </w:r>
      <w:r>
        <w:fldChar w:fldCharType="separate"/>
      </w:r>
      <w:bookmarkStart w:id="766" w:name="_Toc163797874"/>
      <w:r/>
      <w:bookmarkStart w:id="767" w:name="_Toc221870010"/>
      <w:r>
        <w:t xml:space="preserve">58</w:t>
      </w:r>
      <w:r>
        <w:fldChar w:fldCharType="end"/>
      </w:r>
      <w:r>
        <w:t xml:space="preserve">. Схема (2) привязки «Платежный центр – Центр специализации – ТОФК»</w:t>
      </w:r>
      <w:bookmarkEnd w:id="766"/>
      <w:r/>
      <w:bookmarkEnd w:id="767"/>
      <w:r/>
      <w:r/>
    </w:p>
    <w:p>
      <w:pPr>
        <w:pStyle w:val="1305"/>
      </w:pPr>
      <w:r/>
      <w:r/>
    </w:p>
    <w:p>
      <w:pPr>
        <w:pStyle w:val="1305"/>
        <w:sectPr>
          <w:headerReference w:type="default" r:id="rId11"/>
          <w:footnotePr/>
          <w:endnotePr/>
          <w:type w:val="nextPage"/>
          <w:pgSz w:w="16838" w:h="11906" w:orient="landscape"/>
          <w:pgMar w:top="1701" w:right="567" w:bottom="567" w:left="567" w:header="1134" w:footer="284" w:gutter="0"/>
          <w:cols w:num="1" w:sep="0" w:space="708" w:equalWidth="1"/>
          <w:docGrid w:linePitch="360"/>
        </w:sectPr>
      </w:pPr>
      <w:r/>
      <w:r/>
    </w:p>
    <w:p>
      <w:pPr>
        <w:pStyle w:val="1309"/>
      </w:pPr>
      <w:r/>
      <w:bookmarkStart w:id="768" w:name="_Toc221869940"/>
      <w:r>
        <w:t xml:space="preserve">СОГЛАСОВАНО</w:t>
      </w:r>
      <w:bookmarkEnd w:id="768"/>
      <w:r/>
      <w:r/>
    </w:p>
    <w:tbl>
      <w:tblPr>
        <w:tblStyle w:val="1315"/>
        <w:tblW w:w="5000" w:type="pct"/>
        <w:tblLook w:val="01E0" w:firstRow="1" w:lastRow="1" w:firstColumn="1" w:lastColumn="1" w:noHBand="0" w:noVBand="0"/>
      </w:tblPr>
      <w:tblGrid>
        <w:gridCol w:w="2111"/>
        <w:gridCol w:w="2486"/>
        <w:gridCol w:w="2478"/>
        <w:gridCol w:w="1516"/>
        <w:gridCol w:w="1103"/>
      </w:tblGrid>
      <w:tr>
        <w:tblPrEx/>
        <w:trPr/>
        <w:tc>
          <w:tcPr>
            <w:tcW w:w="1089" w:type="pct"/>
            <w:textDirection w:val="lrTb"/>
            <w:noWrap w:val="false"/>
          </w:tcPr>
          <w:p>
            <w:pPr>
              <w:pStyle w:val="1317"/>
            </w:pPr>
            <w:r>
              <w:t xml:space="preserve">Наименование организации, предприятия</w:t>
            </w:r>
            <w:r/>
          </w:p>
        </w:tc>
        <w:tc>
          <w:tcPr>
            <w:tcW w:w="1282" w:type="pct"/>
            <w:textDirection w:val="lrTb"/>
            <w:noWrap w:val="false"/>
          </w:tcPr>
          <w:p>
            <w:pPr>
              <w:pStyle w:val="1317"/>
            </w:pPr>
            <w:r>
              <w:t xml:space="preserve">Должность исполнителя</w:t>
            </w:r>
            <w:r/>
          </w:p>
        </w:tc>
        <w:tc>
          <w:tcPr>
            <w:tcW w:w="1278" w:type="pct"/>
            <w:textDirection w:val="lrTb"/>
            <w:noWrap w:val="false"/>
          </w:tcPr>
          <w:p>
            <w:pPr>
              <w:pStyle w:val="1317"/>
            </w:pPr>
            <w:r>
              <w:t xml:space="preserve">Фамилия, имя, отчество</w:t>
            </w:r>
            <w:r/>
          </w:p>
        </w:tc>
        <w:tc>
          <w:tcPr>
            <w:tcW w:w="782" w:type="pct"/>
            <w:textDirection w:val="lrTb"/>
            <w:noWrap w:val="false"/>
          </w:tcPr>
          <w:p>
            <w:pPr>
              <w:pStyle w:val="1317"/>
            </w:pPr>
            <w:r>
              <w:t xml:space="preserve">Подпись</w:t>
            </w:r>
            <w:r/>
          </w:p>
        </w:tc>
        <w:tc>
          <w:tcPr>
            <w:tcW w:w="569" w:type="pct"/>
            <w:textDirection w:val="lrTb"/>
            <w:noWrap w:val="false"/>
          </w:tcPr>
          <w:p>
            <w:pPr>
              <w:pStyle w:val="1317"/>
            </w:pPr>
            <w:r>
              <w:t xml:space="preserve">Дата</w:t>
            </w:r>
            <w:r/>
          </w:p>
        </w:tc>
      </w:tr>
      <w:tr>
        <w:tblPrEx/>
        <w:trPr/>
        <w:tc>
          <w:tcPr>
            <w:tcW w:w="1089" w:type="pct"/>
            <w:textDirection w:val="lrTb"/>
            <w:noWrap w:val="false"/>
          </w:tcPr>
          <w:p>
            <w:pPr>
              <w:pStyle w:val="1316"/>
            </w:pPr>
            <w:r/>
            <w:r/>
          </w:p>
        </w:tc>
        <w:tc>
          <w:tcPr>
            <w:tcW w:w="1282" w:type="pct"/>
            <w:textDirection w:val="lrTb"/>
            <w:noWrap w:val="false"/>
          </w:tcPr>
          <w:p>
            <w:pPr>
              <w:pStyle w:val="1316"/>
            </w:pPr>
            <w:r/>
            <w:r/>
          </w:p>
        </w:tc>
        <w:tc>
          <w:tcPr>
            <w:tcW w:w="1278" w:type="pct"/>
            <w:textDirection w:val="lrTb"/>
            <w:noWrap w:val="false"/>
          </w:tcPr>
          <w:p>
            <w:pPr>
              <w:pStyle w:val="1316"/>
              <w:rPr>
                <w:lang w:val="en-US"/>
              </w:rPr>
            </w:pPr>
            <w:r>
              <w:rPr>
                <w:lang w:val="en-US"/>
              </w:rPr>
            </w:r>
            <w:r>
              <w:rPr>
                <w:lang w:val="en-US"/>
              </w:rPr>
            </w:r>
          </w:p>
        </w:tc>
        <w:tc>
          <w:tcPr>
            <w:tcW w:w="782" w:type="pct"/>
            <w:textDirection w:val="lrTb"/>
            <w:noWrap w:val="false"/>
          </w:tcPr>
          <w:p>
            <w:pPr>
              <w:pStyle w:val="1316"/>
            </w:pPr>
            <w:r/>
            <w:r/>
          </w:p>
        </w:tc>
        <w:tc>
          <w:tcPr>
            <w:tcW w:w="569" w:type="pct"/>
            <w:textDirection w:val="lrTb"/>
            <w:noWrap w:val="false"/>
          </w:tcPr>
          <w:p>
            <w:pPr>
              <w:pStyle w:val="1316"/>
            </w:pPr>
            <w:r/>
            <w:r/>
          </w:p>
        </w:tc>
      </w:tr>
      <w:tr>
        <w:tblPrEx/>
        <w:trPr/>
        <w:tc>
          <w:tcPr>
            <w:tcW w:w="1089" w:type="pct"/>
            <w:textDirection w:val="lrTb"/>
            <w:noWrap w:val="false"/>
          </w:tcPr>
          <w:p>
            <w:pPr>
              <w:pStyle w:val="1316"/>
            </w:pPr>
            <w:r/>
            <w:r/>
          </w:p>
        </w:tc>
        <w:tc>
          <w:tcPr>
            <w:tcW w:w="1282" w:type="pct"/>
            <w:textDirection w:val="lrTb"/>
            <w:noWrap w:val="false"/>
          </w:tcPr>
          <w:p>
            <w:pPr>
              <w:pStyle w:val="1316"/>
            </w:pPr>
            <w:r/>
            <w:r/>
          </w:p>
        </w:tc>
        <w:tc>
          <w:tcPr>
            <w:tcW w:w="1278" w:type="pct"/>
            <w:textDirection w:val="lrTb"/>
            <w:noWrap w:val="false"/>
          </w:tcPr>
          <w:p>
            <w:pPr>
              <w:pStyle w:val="1316"/>
            </w:pPr>
            <w:r/>
            <w:r/>
          </w:p>
        </w:tc>
        <w:tc>
          <w:tcPr>
            <w:tcW w:w="782" w:type="pct"/>
            <w:textDirection w:val="lrTb"/>
            <w:noWrap w:val="false"/>
          </w:tcPr>
          <w:p>
            <w:pPr>
              <w:pStyle w:val="1316"/>
            </w:pPr>
            <w:r/>
            <w:r/>
          </w:p>
        </w:tc>
        <w:tc>
          <w:tcPr>
            <w:tcW w:w="569" w:type="pct"/>
            <w:textDirection w:val="lrTb"/>
            <w:noWrap w:val="false"/>
          </w:tcPr>
          <w:p>
            <w:pPr>
              <w:pStyle w:val="1316"/>
            </w:pPr>
            <w:r/>
            <w:r/>
          </w:p>
        </w:tc>
      </w:tr>
      <w:tr>
        <w:tblPrEx/>
        <w:trPr/>
        <w:tc>
          <w:tcPr>
            <w:tcW w:w="1089" w:type="pct"/>
            <w:textDirection w:val="lrTb"/>
            <w:noWrap w:val="false"/>
          </w:tcPr>
          <w:p>
            <w:pPr>
              <w:pStyle w:val="1316"/>
            </w:pPr>
            <w:r/>
            <w:r/>
          </w:p>
        </w:tc>
        <w:tc>
          <w:tcPr>
            <w:tcW w:w="1282" w:type="pct"/>
            <w:textDirection w:val="lrTb"/>
            <w:noWrap w:val="false"/>
          </w:tcPr>
          <w:p>
            <w:pPr>
              <w:pStyle w:val="1316"/>
            </w:pPr>
            <w:r/>
            <w:r/>
          </w:p>
        </w:tc>
        <w:tc>
          <w:tcPr>
            <w:tcW w:w="1278" w:type="pct"/>
            <w:textDirection w:val="lrTb"/>
            <w:noWrap w:val="false"/>
          </w:tcPr>
          <w:p>
            <w:pPr>
              <w:pStyle w:val="1316"/>
            </w:pPr>
            <w:r/>
            <w:r/>
          </w:p>
        </w:tc>
        <w:tc>
          <w:tcPr>
            <w:tcW w:w="782" w:type="pct"/>
            <w:textDirection w:val="lrTb"/>
            <w:noWrap w:val="false"/>
          </w:tcPr>
          <w:p>
            <w:pPr>
              <w:pStyle w:val="1316"/>
            </w:pPr>
            <w:r/>
            <w:r/>
          </w:p>
        </w:tc>
        <w:tc>
          <w:tcPr>
            <w:tcW w:w="569" w:type="pct"/>
            <w:textDirection w:val="lrTb"/>
            <w:noWrap w:val="false"/>
          </w:tcPr>
          <w:p>
            <w:pPr>
              <w:pStyle w:val="1316"/>
            </w:pPr>
            <w:r/>
            <w:r/>
          </w:p>
        </w:tc>
      </w:tr>
      <w:tr>
        <w:tblPrEx/>
        <w:trPr/>
        <w:tc>
          <w:tcPr>
            <w:tcW w:w="1089" w:type="pct"/>
            <w:textDirection w:val="lrTb"/>
            <w:noWrap w:val="false"/>
          </w:tcPr>
          <w:p>
            <w:pPr>
              <w:pStyle w:val="1316"/>
            </w:pPr>
            <w:r/>
            <w:r/>
          </w:p>
        </w:tc>
        <w:tc>
          <w:tcPr>
            <w:tcW w:w="1282" w:type="pct"/>
            <w:textDirection w:val="lrTb"/>
            <w:noWrap w:val="false"/>
          </w:tcPr>
          <w:p>
            <w:pPr>
              <w:pStyle w:val="1316"/>
            </w:pPr>
            <w:r/>
            <w:r/>
          </w:p>
        </w:tc>
        <w:tc>
          <w:tcPr>
            <w:tcW w:w="1278" w:type="pct"/>
            <w:textDirection w:val="lrTb"/>
            <w:noWrap w:val="false"/>
          </w:tcPr>
          <w:p>
            <w:pPr>
              <w:pStyle w:val="1316"/>
            </w:pPr>
            <w:r/>
            <w:r/>
          </w:p>
        </w:tc>
        <w:tc>
          <w:tcPr>
            <w:tcW w:w="782" w:type="pct"/>
            <w:textDirection w:val="lrTb"/>
            <w:noWrap w:val="false"/>
          </w:tcPr>
          <w:p>
            <w:pPr>
              <w:pStyle w:val="1316"/>
            </w:pPr>
            <w:r/>
            <w:r/>
          </w:p>
        </w:tc>
        <w:tc>
          <w:tcPr>
            <w:tcW w:w="569" w:type="pct"/>
            <w:textDirection w:val="lrTb"/>
            <w:noWrap w:val="false"/>
          </w:tcPr>
          <w:p>
            <w:pPr>
              <w:pStyle w:val="1316"/>
            </w:pPr>
            <w:r/>
            <w:r/>
          </w:p>
        </w:tc>
      </w:tr>
      <w:tr>
        <w:tblPrEx/>
        <w:trPr/>
        <w:tc>
          <w:tcPr>
            <w:tcW w:w="1089" w:type="pct"/>
            <w:textDirection w:val="lrTb"/>
            <w:noWrap w:val="false"/>
          </w:tcPr>
          <w:p>
            <w:pPr>
              <w:pStyle w:val="1316"/>
            </w:pPr>
            <w:r/>
            <w:r/>
          </w:p>
        </w:tc>
        <w:tc>
          <w:tcPr>
            <w:tcW w:w="1282" w:type="pct"/>
            <w:textDirection w:val="lrTb"/>
            <w:noWrap w:val="false"/>
          </w:tcPr>
          <w:p>
            <w:pPr>
              <w:pStyle w:val="1316"/>
            </w:pPr>
            <w:r/>
            <w:r/>
          </w:p>
        </w:tc>
        <w:tc>
          <w:tcPr>
            <w:tcW w:w="1278" w:type="pct"/>
            <w:textDirection w:val="lrTb"/>
            <w:noWrap w:val="false"/>
          </w:tcPr>
          <w:p>
            <w:pPr>
              <w:pStyle w:val="1316"/>
            </w:pPr>
            <w:r/>
            <w:r/>
          </w:p>
        </w:tc>
        <w:tc>
          <w:tcPr>
            <w:tcW w:w="782" w:type="pct"/>
            <w:textDirection w:val="lrTb"/>
            <w:noWrap w:val="false"/>
          </w:tcPr>
          <w:p>
            <w:pPr>
              <w:pStyle w:val="1316"/>
            </w:pPr>
            <w:r/>
            <w:r/>
          </w:p>
        </w:tc>
        <w:tc>
          <w:tcPr>
            <w:tcW w:w="569" w:type="pct"/>
            <w:textDirection w:val="lrTb"/>
            <w:noWrap w:val="false"/>
          </w:tcPr>
          <w:p>
            <w:pPr>
              <w:pStyle w:val="1316"/>
            </w:pPr>
            <w:r/>
            <w:r/>
          </w:p>
        </w:tc>
      </w:tr>
      <w:tr>
        <w:tblPrEx/>
        <w:trPr/>
        <w:tc>
          <w:tcPr>
            <w:tcW w:w="1089" w:type="pct"/>
            <w:textDirection w:val="lrTb"/>
            <w:noWrap w:val="false"/>
          </w:tcPr>
          <w:p>
            <w:pPr>
              <w:pStyle w:val="1316"/>
            </w:pPr>
            <w:r/>
            <w:r/>
          </w:p>
        </w:tc>
        <w:tc>
          <w:tcPr>
            <w:tcW w:w="1282" w:type="pct"/>
            <w:textDirection w:val="lrTb"/>
            <w:noWrap w:val="false"/>
          </w:tcPr>
          <w:p>
            <w:pPr>
              <w:pStyle w:val="1316"/>
            </w:pPr>
            <w:r/>
            <w:r/>
          </w:p>
        </w:tc>
        <w:tc>
          <w:tcPr>
            <w:tcW w:w="1278" w:type="pct"/>
            <w:textDirection w:val="lrTb"/>
            <w:noWrap w:val="false"/>
          </w:tcPr>
          <w:p>
            <w:pPr>
              <w:pStyle w:val="1316"/>
            </w:pPr>
            <w:r/>
            <w:r/>
          </w:p>
        </w:tc>
        <w:tc>
          <w:tcPr>
            <w:tcW w:w="782" w:type="pct"/>
            <w:textDirection w:val="lrTb"/>
            <w:noWrap w:val="false"/>
          </w:tcPr>
          <w:p>
            <w:pPr>
              <w:pStyle w:val="1316"/>
            </w:pPr>
            <w:r/>
            <w:r/>
          </w:p>
        </w:tc>
        <w:tc>
          <w:tcPr>
            <w:tcW w:w="569" w:type="pct"/>
            <w:textDirection w:val="lrTb"/>
            <w:noWrap w:val="false"/>
          </w:tcPr>
          <w:p>
            <w:pPr>
              <w:pStyle w:val="1316"/>
            </w:pPr>
            <w:r/>
            <w:r/>
          </w:p>
        </w:tc>
      </w:tr>
      <w:tr>
        <w:tblPrEx/>
        <w:trPr/>
        <w:tc>
          <w:tcPr>
            <w:tcW w:w="1089" w:type="pct"/>
            <w:textDirection w:val="lrTb"/>
            <w:noWrap w:val="false"/>
          </w:tcPr>
          <w:p>
            <w:pPr>
              <w:pStyle w:val="1316"/>
            </w:pPr>
            <w:r/>
            <w:r/>
          </w:p>
        </w:tc>
        <w:tc>
          <w:tcPr>
            <w:tcW w:w="1282" w:type="pct"/>
            <w:textDirection w:val="lrTb"/>
            <w:noWrap w:val="false"/>
          </w:tcPr>
          <w:p>
            <w:pPr>
              <w:pStyle w:val="1316"/>
            </w:pPr>
            <w:r/>
            <w:r/>
          </w:p>
        </w:tc>
        <w:tc>
          <w:tcPr>
            <w:tcW w:w="1278" w:type="pct"/>
            <w:textDirection w:val="lrTb"/>
            <w:noWrap w:val="false"/>
          </w:tcPr>
          <w:p>
            <w:pPr>
              <w:pStyle w:val="1316"/>
            </w:pPr>
            <w:r/>
            <w:r/>
          </w:p>
        </w:tc>
        <w:tc>
          <w:tcPr>
            <w:tcW w:w="782" w:type="pct"/>
            <w:textDirection w:val="lrTb"/>
            <w:noWrap w:val="false"/>
          </w:tcPr>
          <w:p>
            <w:pPr>
              <w:pStyle w:val="1316"/>
            </w:pPr>
            <w:r/>
            <w:r/>
          </w:p>
        </w:tc>
        <w:tc>
          <w:tcPr>
            <w:tcW w:w="569" w:type="pct"/>
            <w:textDirection w:val="lrTb"/>
            <w:noWrap w:val="false"/>
          </w:tcPr>
          <w:p>
            <w:pPr>
              <w:pStyle w:val="1316"/>
            </w:pPr>
            <w:r/>
            <w:r/>
          </w:p>
        </w:tc>
      </w:tr>
      <w:tr>
        <w:tblPrEx/>
        <w:trPr/>
        <w:tc>
          <w:tcPr>
            <w:tcW w:w="1089" w:type="pct"/>
            <w:textDirection w:val="lrTb"/>
            <w:noWrap w:val="false"/>
          </w:tcPr>
          <w:p>
            <w:pPr>
              <w:pStyle w:val="1316"/>
            </w:pPr>
            <w:r/>
            <w:r/>
          </w:p>
        </w:tc>
        <w:tc>
          <w:tcPr>
            <w:tcW w:w="1282" w:type="pct"/>
            <w:textDirection w:val="lrTb"/>
            <w:noWrap w:val="false"/>
          </w:tcPr>
          <w:p>
            <w:pPr>
              <w:pStyle w:val="1316"/>
            </w:pPr>
            <w:r/>
            <w:r/>
          </w:p>
        </w:tc>
        <w:tc>
          <w:tcPr>
            <w:tcW w:w="1278" w:type="pct"/>
            <w:textDirection w:val="lrTb"/>
            <w:noWrap w:val="false"/>
          </w:tcPr>
          <w:p>
            <w:pPr>
              <w:pStyle w:val="1316"/>
            </w:pPr>
            <w:r/>
            <w:r/>
          </w:p>
        </w:tc>
        <w:tc>
          <w:tcPr>
            <w:tcW w:w="782" w:type="pct"/>
            <w:textDirection w:val="lrTb"/>
            <w:noWrap w:val="false"/>
          </w:tcPr>
          <w:p>
            <w:pPr>
              <w:pStyle w:val="1316"/>
            </w:pPr>
            <w:r/>
            <w:r/>
          </w:p>
        </w:tc>
        <w:tc>
          <w:tcPr>
            <w:tcW w:w="569" w:type="pct"/>
            <w:textDirection w:val="lrTb"/>
            <w:noWrap w:val="false"/>
          </w:tcPr>
          <w:p>
            <w:pPr>
              <w:pStyle w:val="1316"/>
            </w:pPr>
            <w:r/>
            <w:r/>
          </w:p>
        </w:tc>
      </w:tr>
      <w:tr>
        <w:tblPrEx/>
        <w:trPr/>
        <w:tc>
          <w:tcPr>
            <w:tcW w:w="1089" w:type="pct"/>
            <w:textDirection w:val="lrTb"/>
            <w:noWrap w:val="false"/>
          </w:tcPr>
          <w:p>
            <w:pPr>
              <w:pStyle w:val="1316"/>
            </w:pPr>
            <w:r/>
            <w:r/>
          </w:p>
        </w:tc>
        <w:tc>
          <w:tcPr>
            <w:tcW w:w="1282" w:type="pct"/>
            <w:textDirection w:val="lrTb"/>
            <w:noWrap w:val="false"/>
          </w:tcPr>
          <w:p>
            <w:pPr>
              <w:pStyle w:val="1316"/>
            </w:pPr>
            <w:r/>
            <w:r/>
          </w:p>
        </w:tc>
        <w:tc>
          <w:tcPr>
            <w:tcW w:w="1278" w:type="pct"/>
            <w:textDirection w:val="lrTb"/>
            <w:noWrap w:val="false"/>
          </w:tcPr>
          <w:p>
            <w:pPr>
              <w:pStyle w:val="1316"/>
            </w:pPr>
            <w:r/>
            <w:r/>
          </w:p>
        </w:tc>
        <w:tc>
          <w:tcPr>
            <w:tcW w:w="782" w:type="pct"/>
            <w:textDirection w:val="lrTb"/>
            <w:noWrap w:val="false"/>
          </w:tcPr>
          <w:p>
            <w:pPr>
              <w:pStyle w:val="1316"/>
            </w:pPr>
            <w:r/>
            <w:r/>
          </w:p>
        </w:tc>
        <w:tc>
          <w:tcPr>
            <w:tcW w:w="569" w:type="pct"/>
            <w:textDirection w:val="lrTb"/>
            <w:noWrap w:val="false"/>
          </w:tcPr>
          <w:p>
            <w:pPr>
              <w:pStyle w:val="1316"/>
            </w:pPr>
            <w:r/>
            <w:r/>
          </w:p>
        </w:tc>
      </w:tr>
      <w:tr>
        <w:tblPrEx/>
        <w:trPr/>
        <w:tc>
          <w:tcPr>
            <w:tcW w:w="1089" w:type="pct"/>
            <w:textDirection w:val="lrTb"/>
            <w:noWrap w:val="false"/>
          </w:tcPr>
          <w:p>
            <w:pPr>
              <w:pStyle w:val="1316"/>
            </w:pPr>
            <w:r/>
            <w:r/>
          </w:p>
        </w:tc>
        <w:tc>
          <w:tcPr>
            <w:tcW w:w="1282" w:type="pct"/>
            <w:textDirection w:val="lrTb"/>
            <w:noWrap w:val="false"/>
          </w:tcPr>
          <w:p>
            <w:pPr>
              <w:pStyle w:val="1316"/>
            </w:pPr>
            <w:r/>
            <w:r/>
          </w:p>
        </w:tc>
        <w:tc>
          <w:tcPr>
            <w:tcW w:w="1278" w:type="pct"/>
            <w:textDirection w:val="lrTb"/>
            <w:noWrap w:val="false"/>
          </w:tcPr>
          <w:p>
            <w:pPr>
              <w:pStyle w:val="1316"/>
            </w:pPr>
            <w:r/>
            <w:r/>
          </w:p>
        </w:tc>
        <w:tc>
          <w:tcPr>
            <w:tcW w:w="782" w:type="pct"/>
            <w:textDirection w:val="lrTb"/>
            <w:noWrap w:val="false"/>
          </w:tcPr>
          <w:p>
            <w:pPr>
              <w:pStyle w:val="1316"/>
            </w:pPr>
            <w:r/>
            <w:r/>
          </w:p>
        </w:tc>
        <w:tc>
          <w:tcPr>
            <w:tcW w:w="569" w:type="pct"/>
            <w:textDirection w:val="lrTb"/>
            <w:noWrap w:val="false"/>
          </w:tcPr>
          <w:p>
            <w:pPr>
              <w:pStyle w:val="1316"/>
            </w:pPr>
            <w:r/>
            <w:r/>
          </w:p>
        </w:tc>
      </w:tr>
    </w:tbl>
    <w:p>
      <w:pPr>
        <w:pStyle w:val="1305"/>
      </w:pPr>
      <w:r/>
      <w:r/>
    </w:p>
    <w:p>
      <w:pPr>
        <w:pStyle w:val="1309"/>
      </w:pPr>
      <w:r/>
      <w:bookmarkStart w:id="769" w:name="_Toc150758397"/>
      <w:r/>
      <w:bookmarkStart w:id="770" w:name="_Toc154485450"/>
      <w:r/>
      <w:bookmarkStart w:id="771" w:name="_Toc182196514"/>
      <w:r/>
      <w:bookmarkStart w:id="772" w:name="_Toc221869941"/>
      <w:r>
        <w:t xml:space="preserve">ЛИСТ РЕГИСТРАЦИИ ИЗМЕНЕНИЙ</w:t>
      </w:r>
      <w:bookmarkEnd w:id="769"/>
      <w:r/>
      <w:bookmarkEnd w:id="770"/>
      <w:r/>
      <w:bookmarkEnd w:id="771"/>
      <w:r/>
      <w:bookmarkEnd w:id="772"/>
      <w:r/>
      <w:r/>
    </w:p>
    <w:tbl>
      <w:tblPr>
        <w:tblStyle w:val="1315"/>
        <w:tblW w:w="5000" w:type="pct"/>
        <w:tblLayout w:type="fixed"/>
        <w:tblLook w:val="04A0" w:firstRow="1" w:lastRow="0" w:firstColumn="1" w:lastColumn="0" w:noHBand="0" w:noVBand="1"/>
      </w:tblPr>
      <w:tblGrid>
        <w:gridCol w:w="902"/>
        <w:gridCol w:w="1254"/>
        <w:gridCol w:w="1842"/>
        <w:gridCol w:w="5696"/>
      </w:tblGrid>
      <w:tr>
        <w:tblPrEx/>
        <w:trPr>
          <w:trHeight w:val="20"/>
        </w:trPr>
        <w:tc>
          <w:tcPr>
            <w:tcW w:w="465" w:type="pct"/>
            <w:textDirection w:val="lrTb"/>
            <w:noWrap w:val="false"/>
          </w:tcPr>
          <w:p>
            <w:pPr>
              <w:pStyle w:val="1317"/>
            </w:pPr>
            <w:r>
              <w:t xml:space="preserve">№ </w:t>
            </w:r>
            <w:r>
              <w:br/>
              <w:t xml:space="preserve">версии док-та</w:t>
            </w:r>
            <w:r/>
          </w:p>
        </w:tc>
        <w:tc>
          <w:tcPr>
            <w:tcW w:w="647" w:type="pct"/>
            <w:textDirection w:val="lrTb"/>
            <w:noWrap w:val="false"/>
          </w:tcPr>
          <w:p>
            <w:pPr>
              <w:pStyle w:val="1317"/>
            </w:pPr>
            <w:r>
              <w:t xml:space="preserve">Дата </w:t>
            </w:r>
            <w:r>
              <w:br/>
              <w:t xml:space="preserve">изменения</w:t>
            </w:r>
            <w:r/>
          </w:p>
        </w:tc>
        <w:tc>
          <w:tcPr>
            <w:tcW w:w="950" w:type="pct"/>
            <w:textDirection w:val="lrTb"/>
            <w:noWrap w:val="false"/>
          </w:tcPr>
          <w:p>
            <w:pPr>
              <w:pStyle w:val="1317"/>
            </w:pPr>
            <w:r>
              <w:t xml:space="preserve">Автор </w:t>
            </w:r>
            <w:r>
              <w:br/>
              <w:t xml:space="preserve">изменений</w:t>
            </w:r>
            <w:r/>
          </w:p>
        </w:tc>
        <w:tc>
          <w:tcPr>
            <w:tcW w:w="2938" w:type="pct"/>
            <w:textDirection w:val="lrTb"/>
            <w:noWrap w:val="false"/>
          </w:tcPr>
          <w:p>
            <w:pPr>
              <w:pStyle w:val="1317"/>
            </w:pPr>
            <w:r>
              <w:t xml:space="preserve">Изменения</w:t>
            </w:r>
            <w:r/>
          </w:p>
        </w:tc>
      </w:tr>
      <w:tr>
        <w:tblPrEx/>
        <w:trPr>
          <w:trHeight w:val="20"/>
        </w:trPr>
        <w:tc>
          <w:tcPr>
            <w:tcW w:w="465" w:type="pct"/>
            <w:textDirection w:val="lrTb"/>
            <w:noWrap w:val="false"/>
          </w:tcPr>
          <w:p>
            <w:pPr>
              <w:pStyle w:val="1316"/>
            </w:pPr>
            <w:r>
              <w:t xml:space="preserve">1.0</w:t>
            </w:r>
            <w:r/>
          </w:p>
        </w:tc>
        <w:tc>
          <w:tcPr>
            <w:tcW w:w="647" w:type="pct"/>
            <w:textDirection w:val="lrTb"/>
            <w:noWrap w:val="false"/>
          </w:tcPr>
          <w:p>
            <w:pPr>
              <w:pStyle w:val="1316"/>
            </w:pPr>
            <w:r>
              <w:t xml:space="preserve">06.12.2018</w:t>
            </w:r>
            <w:r/>
          </w:p>
        </w:tc>
        <w:tc>
          <w:tcPr>
            <w:tcW w:w="950" w:type="pct"/>
            <w:textDirection w:val="lrTb"/>
            <w:noWrap w:val="false"/>
          </w:tcPr>
          <w:p>
            <w:pPr>
              <w:pStyle w:val="1316"/>
            </w:pPr>
            <w:r>
              <w:t xml:space="preserve">Егорова Е. И.</w:t>
            </w:r>
            <w:r/>
          </w:p>
        </w:tc>
        <w:tc>
          <w:tcPr>
            <w:tcW w:w="2938" w:type="pct"/>
            <w:textDirection w:val="lrTb"/>
            <w:noWrap w:val="false"/>
          </w:tcPr>
          <w:p>
            <w:pPr>
              <w:pStyle w:val="1316"/>
            </w:pPr>
            <w:r>
              <w:t xml:space="preserve">Начальная версия документа</w:t>
            </w:r>
            <w:r/>
          </w:p>
        </w:tc>
      </w:tr>
      <w:tr>
        <w:tblPrEx/>
        <w:trPr>
          <w:trHeight w:val="20"/>
        </w:trPr>
        <w:tc>
          <w:tcPr>
            <w:tcW w:w="465" w:type="pct"/>
            <w:textDirection w:val="lrTb"/>
            <w:noWrap w:val="false"/>
          </w:tcPr>
          <w:p>
            <w:pPr>
              <w:pStyle w:val="1316"/>
            </w:pPr>
            <w:r>
              <w:t xml:space="preserve">1.1</w:t>
            </w:r>
            <w:r/>
          </w:p>
        </w:tc>
        <w:tc>
          <w:tcPr>
            <w:tcW w:w="647" w:type="pct"/>
            <w:textDirection w:val="lrTb"/>
            <w:noWrap w:val="false"/>
          </w:tcPr>
          <w:p>
            <w:pPr>
              <w:pStyle w:val="1316"/>
            </w:pPr>
            <w:r>
              <w:t xml:space="preserve">13.05.2019</w:t>
            </w:r>
            <w:r/>
          </w:p>
        </w:tc>
        <w:tc>
          <w:tcPr>
            <w:tcW w:w="950" w:type="pct"/>
            <w:textDirection w:val="lrTb"/>
            <w:noWrap w:val="false"/>
          </w:tcPr>
          <w:p>
            <w:pPr>
              <w:pStyle w:val="1316"/>
            </w:pPr>
            <w:r>
              <w:t xml:space="preserve">Михайлова Н. А.</w:t>
            </w:r>
            <w:r/>
          </w:p>
        </w:tc>
        <w:tc>
          <w:tcPr>
            <w:tcW w:w="2938" w:type="pct"/>
            <w:textDirection w:val="lrTb"/>
            <w:noWrap w:val="false"/>
          </w:tcPr>
          <w:p>
            <w:pPr>
              <w:pStyle w:val="1316"/>
            </w:pPr>
            <w:r>
              <w:t xml:space="preserve">Документ актуализирован на основании Государственного контракта от 03.12.2018 № ФКУ0678/12/2018/ИС (2-й период работ по развитию подсистемы ведения нормативной справочной информации)</w:t>
            </w:r>
            <w:r/>
          </w:p>
        </w:tc>
      </w:tr>
      <w:tr>
        <w:tblPrEx/>
        <w:trPr>
          <w:trHeight w:val="20"/>
        </w:trPr>
        <w:tc>
          <w:tcPr>
            <w:tcW w:w="465" w:type="pct"/>
            <w:textDirection w:val="lrTb"/>
            <w:noWrap w:val="false"/>
          </w:tcPr>
          <w:p>
            <w:pPr>
              <w:pStyle w:val="1316"/>
            </w:pPr>
            <w:r>
              <w:t xml:space="preserve">1.2</w:t>
            </w:r>
            <w:r/>
          </w:p>
        </w:tc>
        <w:tc>
          <w:tcPr>
            <w:tcW w:w="647" w:type="pct"/>
            <w:textDirection w:val="lrTb"/>
            <w:noWrap w:val="false"/>
          </w:tcPr>
          <w:p>
            <w:pPr>
              <w:pStyle w:val="1316"/>
            </w:pPr>
            <w:r>
              <w:t xml:space="preserve">10.07.2019</w:t>
            </w:r>
            <w:r/>
          </w:p>
        </w:tc>
        <w:tc>
          <w:tcPr>
            <w:tcW w:w="950" w:type="pct"/>
            <w:textDirection w:val="lrTb"/>
            <w:noWrap w:val="false"/>
          </w:tcPr>
          <w:p>
            <w:pPr>
              <w:pStyle w:val="1316"/>
            </w:pPr>
            <w:r>
              <w:t xml:space="preserve">Михайлова Н. А.</w:t>
            </w:r>
            <w:r/>
          </w:p>
        </w:tc>
        <w:tc>
          <w:tcPr>
            <w:tcW w:w="2938" w:type="pct"/>
            <w:textDirection w:val="lrTb"/>
            <w:noWrap w:val="false"/>
          </w:tcPr>
          <w:p>
            <w:pPr>
              <w:pStyle w:val="1316"/>
            </w:pPr>
            <w:r>
              <w:t xml:space="preserve">Внесены изменения по результатам предварительных испытаний</w:t>
            </w:r>
            <w:r/>
          </w:p>
        </w:tc>
      </w:tr>
      <w:tr>
        <w:tblPrEx/>
        <w:trPr>
          <w:trHeight w:val="20"/>
        </w:trPr>
        <w:tc>
          <w:tcPr>
            <w:tcW w:w="465" w:type="pct"/>
            <w:textDirection w:val="lrTb"/>
            <w:noWrap w:val="false"/>
          </w:tcPr>
          <w:p>
            <w:pPr>
              <w:pStyle w:val="1316"/>
            </w:pPr>
            <w:r>
              <w:t xml:space="preserve">1.3</w:t>
            </w:r>
            <w:r/>
          </w:p>
        </w:tc>
        <w:tc>
          <w:tcPr>
            <w:tcW w:w="647" w:type="pct"/>
            <w:textDirection w:val="lrTb"/>
            <w:noWrap w:val="false"/>
          </w:tcPr>
          <w:p>
            <w:pPr>
              <w:pStyle w:val="1316"/>
            </w:pPr>
            <w:r>
              <w:t xml:space="preserve">16.07.2019</w:t>
            </w:r>
            <w:r/>
          </w:p>
        </w:tc>
        <w:tc>
          <w:tcPr>
            <w:tcW w:w="950" w:type="pct"/>
            <w:textDirection w:val="lrTb"/>
            <w:noWrap w:val="false"/>
          </w:tcPr>
          <w:p>
            <w:pPr>
              <w:pStyle w:val="1316"/>
            </w:pPr>
            <w:r>
              <w:t xml:space="preserve">Михайлова Н. А.</w:t>
            </w:r>
            <w:r/>
          </w:p>
        </w:tc>
        <w:tc>
          <w:tcPr>
            <w:tcW w:w="2938" w:type="pct"/>
            <w:textDirection w:val="lrTb"/>
            <w:noWrap w:val="false"/>
          </w:tcPr>
          <w:p>
            <w:pPr>
              <w:pStyle w:val="1316"/>
            </w:pPr>
            <w:r>
              <w:t xml:space="preserve">Внесены изменения по замечаниям Заказчика</w:t>
            </w:r>
            <w:r/>
          </w:p>
        </w:tc>
      </w:tr>
      <w:tr>
        <w:tblPrEx/>
        <w:trPr>
          <w:trHeight w:val="20"/>
        </w:trPr>
        <w:tc>
          <w:tcPr>
            <w:tcW w:w="465" w:type="pct"/>
            <w:textDirection w:val="lrTb"/>
            <w:noWrap w:val="false"/>
          </w:tcPr>
          <w:p>
            <w:pPr>
              <w:pStyle w:val="1316"/>
            </w:pPr>
            <w:r>
              <w:t xml:space="preserve">1.4</w:t>
            </w:r>
            <w:r/>
          </w:p>
        </w:tc>
        <w:tc>
          <w:tcPr>
            <w:tcW w:w="647" w:type="pct"/>
            <w:textDirection w:val="lrTb"/>
            <w:noWrap w:val="false"/>
          </w:tcPr>
          <w:p>
            <w:pPr>
              <w:pStyle w:val="1316"/>
            </w:pPr>
            <w:r>
              <w:t xml:space="preserve">30.08.2019</w:t>
            </w:r>
            <w:r/>
          </w:p>
        </w:tc>
        <w:tc>
          <w:tcPr>
            <w:tcW w:w="950" w:type="pct"/>
            <w:textDirection w:val="lrTb"/>
            <w:noWrap w:val="false"/>
          </w:tcPr>
          <w:p>
            <w:pPr>
              <w:pStyle w:val="1316"/>
            </w:pPr>
            <w:r>
              <w:t xml:space="preserve">Михайлова Н. А.</w:t>
            </w:r>
            <w:r/>
          </w:p>
        </w:tc>
        <w:tc>
          <w:tcPr>
            <w:tcW w:w="2938" w:type="pct"/>
            <w:textDirection w:val="lrTb"/>
            <w:noWrap w:val="false"/>
          </w:tcPr>
          <w:p>
            <w:pPr>
              <w:pStyle w:val="1316"/>
            </w:pPr>
            <w:r>
              <w:t xml:space="preserve">Внесены изменения по замечаниям Заказчика</w:t>
            </w:r>
            <w:r/>
          </w:p>
        </w:tc>
      </w:tr>
      <w:tr>
        <w:tblPrEx/>
        <w:trPr>
          <w:trHeight w:val="20"/>
        </w:trPr>
        <w:tc>
          <w:tcPr>
            <w:tcW w:w="465" w:type="pct"/>
            <w:textDirection w:val="lrTb"/>
            <w:noWrap w:val="false"/>
          </w:tcPr>
          <w:p>
            <w:pPr>
              <w:pStyle w:val="1316"/>
            </w:pPr>
            <w:r>
              <w:t xml:space="preserve">01.05</w:t>
            </w:r>
            <w:r/>
          </w:p>
        </w:tc>
        <w:tc>
          <w:tcPr>
            <w:tcW w:w="647" w:type="pct"/>
            <w:textDirection w:val="lrTb"/>
            <w:noWrap w:val="false"/>
          </w:tcPr>
          <w:p>
            <w:pPr>
              <w:pStyle w:val="1316"/>
            </w:pPr>
            <w:r>
              <w:t xml:space="preserve">10.01.2020</w:t>
            </w:r>
            <w:r/>
          </w:p>
        </w:tc>
        <w:tc>
          <w:tcPr>
            <w:tcW w:w="950" w:type="pct"/>
            <w:textDirection w:val="lrTb"/>
            <w:noWrap w:val="false"/>
          </w:tcPr>
          <w:p>
            <w:pPr>
              <w:pStyle w:val="1316"/>
            </w:pPr>
            <w:r>
              <w:t xml:space="preserve">Алексеев И. И.</w:t>
            </w:r>
            <w:r/>
          </w:p>
        </w:tc>
        <w:tc>
          <w:tcPr>
            <w:tcW w:w="2938" w:type="pct"/>
            <w:textDirection w:val="lrTb"/>
            <w:noWrap w:val="false"/>
          </w:tcPr>
          <w:p>
            <w:pPr>
              <w:pStyle w:val="1316"/>
            </w:pPr>
            <w:r>
              <w:t xml:space="preserve">Документ актуализирован на основании Государственного контракта от 03.12.2018 № ФКУ0678/12/2018/ИС (3</w:t>
            </w:r>
            <w:r>
              <w:noBreakHyphen/>
              <w:t xml:space="preserve">й период работ по развитию подсистемы ведения нормативной справочной информации)</w:t>
            </w:r>
            <w:r/>
          </w:p>
        </w:tc>
      </w:tr>
      <w:tr>
        <w:tblPrEx/>
        <w:trPr>
          <w:trHeight w:val="20"/>
        </w:trPr>
        <w:tc>
          <w:tcPr>
            <w:tcW w:w="465" w:type="pct"/>
            <w:textDirection w:val="lrTb"/>
            <w:noWrap w:val="false"/>
          </w:tcPr>
          <w:p>
            <w:pPr>
              <w:pStyle w:val="1316"/>
            </w:pPr>
            <w:r>
              <w:t xml:space="preserve">01.06</w:t>
            </w:r>
            <w:r/>
          </w:p>
        </w:tc>
        <w:tc>
          <w:tcPr>
            <w:tcW w:w="647" w:type="pct"/>
            <w:textDirection w:val="lrTb"/>
            <w:noWrap w:val="false"/>
          </w:tcPr>
          <w:p>
            <w:pPr>
              <w:pStyle w:val="1316"/>
            </w:pPr>
            <w:r>
              <w:t xml:space="preserve">25.03.2020</w:t>
            </w:r>
            <w:r/>
          </w:p>
        </w:tc>
        <w:tc>
          <w:tcPr>
            <w:tcW w:w="950" w:type="pct"/>
            <w:textDirection w:val="lrTb"/>
            <w:noWrap w:val="false"/>
          </w:tcPr>
          <w:p>
            <w:pPr>
              <w:pStyle w:val="1316"/>
            </w:pPr>
            <w:r>
              <w:t xml:space="preserve">Алексеев И. И.</w:t>
            </w:r>
            <w:r/>
          </w:p>
        </w:tc>
        <w:tc>
          <w:tcPr>
            <w:tcW w:w="2938" w:type="pct"/>
            <w:textDirection w:val="lrTb"/>
            <w:noWrap w:val="false"/>
          </w:tcPr>
          <w:p>
            <w:pPr>
              <w:pStyle w:val="1316"/>
            </w:pPr>
            <w:r>
              <w:t xml:space="preserve">Внесены изменения по замечаниям Заказчика и по результатам проведения опытной эксплуатации в рамках работ по Государственному контракту от 03.12.2018 № ФКУ0678/12/2018/ИС (3-й период работ по развитию подсистемы ведения нормативной справочной информации)</w:t>
            </w:r>
            <w:r/>
          </w:p>
        </w:tc>
      </w:tr>
      <w:tr>
        <w:tblPrEx/>
        <w:trPr>
          <w:trHeight w:val="20"/>
        </w:trPr>
        <w:tc>
          <w:tcPr>
            <w:tcW w:w="465" w:type="pct"/>
            <w:textDirection w:val="lrTb"/>
            <w:noWrap w:val="false"/>
          </w:tcPr>
          <w:p>
            <w:pPr>
              <w:pStyle w:val="1316"/>
            </w:pPr>
            <w:r>
              <w:t xml:space="preserve">02.00</w:t>
            </w:r>
            <w:r/>
          </w:p>
        </w:tc>
        <w:tc>
          <w:tcPr>
            <w:tcW w:w="647" w:type="pct"/>
            <w:textDirection w:val="lrTb"/>
            <w:noWrap w:val="false"/>
          </w:tcPr>
          <w:p>
            <w:pPr>
              <w:pStyle w:val="1316"/>
            </w:pPr>
            <w:r>
              <w:t xml:space="preserve">01.03.2022</w:t>
            </w:r>
            <w:r/>
          </w:p>
        </w:tc>
        <w:tc>
          <w:tcPr>
            <w:tcW w:w="950" w:type="pct"/>
            <w:textDirection w:val="lrTb"/>
            <w:noWrap w:val="false"/>
          </w:tcPr>
          <w:p>
            <w:pPr>
              <w:pStyle w:val="1316"/>
            </w:pPr>
            <w:r>
              <w:t xml:space="preserve">Снегирева Н. А.</w:t>
            </w:r>
            <w:r/>
          </w:p>
        </w:tc>
        <w:tc>
          <w:tcPr>
            <w:tcW w:w="2938" w:type="pct"/>
            <w:textDirection w:val="lrTb"/>
            <w:noWrap w:val="false"/>
          </w:tcPr>
          <w:p>
            <w:pPr>
              <w:pStyle w:val="1316"/>
            </w:pPr>
            <w:r>
              <w:t xml:space="preserve">До</w:t>
            </w:r>
            <w:r>
              <w:t xml:space="preserve">кумент актуализирован в соответствии с Государственным контрактом от 15.02.2022 № ФКУ0062/02/2022/РИС (1-й период работ по развитию подсистемы ведения нормативной справочной информации). Внесение изменений по результатам доработок. Внесены изменения в пп. </w:t>
            </w:r>
            <w:r>
              <w:t xml:space="preserve">3.1</w:t>
            </w:r>
            <w:r>
              <w:t xml:space="preserve">, 4.2.1 – 4.2.3, 4.2.4.2, 4.2.5 – 4.2.8, 4.3, 4.5.1, 4.5.2.1 – 4.5.2.3, 4.5.2.6, 4.6.1, 4.7.1, 4.7.3, 4.8.1, 4.8.3, 4.9.1, 4.10.1, 4.10.3, 4.11.1, 4.11.3. Добавлен п. 4.12</w:t>
            </w:r>
            <w:r/>
          </w:p>
        </w:tc>
      </w:tr>
      <w:tr>
        <w:tblPrEx/>
        <w:trPr>
          <w:trHeight w:val="20"/>
        </w:trPr>
        <w:tc>
          <w:tcPr>
            <w:tcW w:w="465" w:type="pct"/>
            <w:textDirection w:val="lrTb"/>
            <w:noWrap w:val="false"/>
          </w:tcPr>
          <w:p>
            <w:pPr>
              <w:pStyle w:val="1316"/>
            </w:pPr>
            <w:r>
              <w:t xml:space="preserve">02.01</w:t>
            </w:r>
            <w:r/>
          </w:p>
        </w:tc>
        <w:tc>
          <w:tcPr>
            <w:tcW w:w="647" w:type="pct"/>
            <w:textDirection w:val="lrTb"/>
            <w:noWrap w:val="false"/>
          </w:tcPr>
          <w:p>
            <w:pPr>
              <w:pStyle w:val="1316"/>
            </w:pPr>
            <w:r>
              <w:t xml:space="preserve">01.04.2022</w:t>
            </w:r>
            <w:r/>
          </w:p>
        </w:tc>
        <w:tc>
          <w:tcPr>
            <w:tcW w:w="950" w:type="pct"/>
            <w:textDirection w:val="lrTb"/>
            <w:noWrap w:val="false"/>
          </w:tcPr>
          <w:p>
            <w:pPr>
              <w:pStyle w:val="1316"/>
            </w:pPr>
            <w:r>
              <w:t xml:space="preserve">Маркеев К. В.</w:t>
            </w:r>
            <w:r/>
          </w:p>
        </w:tc>
        <w:tc>
          <w:tcPr>
            <w:tcW w:w="2938" w:type="pct"/>
            <w:textDirection w:val="lrTb"/>
            <w:noWrap w:val="false"/>
          </w:tcPr>
          <w:p>
            <w:pPr>
              <w:pStyle w:val="1316"/>
            </w:pPr>
            <w:r>
              <w:t xml:space="preserve">Внесены изменения по результатам проведения опытной эксплуатации на основании Государственного контракта от 15.02.2022 № ФКУ0062/02/2022/РИС (1-й период работ по развитию подсистемы ведения нормативной справочной информации). Внесены изменения в пп. </w:t>
            </w:r>
            <w:r>
              <w:t xml:space="preserve">3.1</w:t>
            </w:r>
            <w:r>
              <w:t xml:space="preserve">, 3</w:t>
            </w:r>
            <w:r/>
          </w:p>
        </w:tc>
      </w:tr>
      <w:tr>
        <w:tblPrEx/>
        <w:trPr>
          <w:trHeight w:val="20"/>
        </w:trPr>
        <w:tc>
          <w:tcPr>
            <w:tcW w:w="465" w:type="pct"/>
            <w:textDirection w:val="lrTb"/>
            <w:noWrap w:val="false"/>
          </w:tcPr>
          <w:p>
            <w:pPr>
              <w:pStyle w:val="1316"/>
            </w:pPr>
            <w:r>
              <w:t xml:space="preserve">02.02</w:t>
            </w:r>
            <w:r/>
          </w:p>
        </w:tc>
        <w:tc>
          <w:tcPr>
            <w:tcW w:w="647" w:type="pct"/>
            <w:textDirection w:val="lrTb"/>
            <w:noWrap w:val="false"/>
          </w:tcPr>
          <w:p>
            <w:pPr>
              <w:pStyle w:val="1316"/>
            </w:pPr>
            <w:r>
              <w:t xml:space="preserve">14.07.2022</w:t>
            </w:r>
            <w:r/>
          </w:p>
        </w:tc>
        <w:tc>
          <w:tcPr>
            <w:tcW w:w="950" w:type="pct"/>
            <w:textDirection w:val="lrTb"/>
            <w:noWrap w:val="false"/>
          </w:tcPr>
          <w:p>
            <w:pPr>
              <w:pStyle w:val="1316"/>
            </w:pPr>
            <w:r>
              <w:t xml:space="preserve">Снегирева Н. А.</w:t>
            </w:r>
            <w:r/>
          </w:p>
          <w:p>
            <w:pPr>
              <w:pStyle w:val="1316"/>
            </w:pPr>
            <w:r>
              <w:t xml:space="preserve">Шведова М. А.</w:t>
            </w:r>
            <w:r/>
          </w:p>
          <w:p>
            <w:pPr>
              <w:pStyle w:val="1316"/>
            </w:pPr>
            <w:r>
              <w:t xml:space="preserve">Даниленко А. Р.</w:t>
            </w:r>
            <w:r/>
          </w:p>
        </w:tc>
        <w:tc>
          <w:tcPr>
            <w:tcW w:w="2938" w:type="pct"/>
            <w:textDirection w:val="lrTb"/>
            <w:noWrap w:val="false"/>
          </w:tcPr>
          <w:p>
            <w:pPr>
              <w:pStyle w:val="1316"/>
            </w:pPr>
            <w:r>
              <w:t xml:space="preserve">Документ актуализирован в соответствии с Государственным контрактом от 30.05.2022 № ФКУ0200/05/2022/РИС. Внесены следующие изменения:</w:t>
            </w:r>
            <w:r/>
          </w:p>
          <w:p>
            <w:pPr>
              <w:pStyle w:val="1318"/>
            </w:pPr>
            <w:r>
              <w:t xml:space="preserve">добавлены в п. 4.2.3 таблица «Сведения о соответствии казначейских счетов лицевым счетам» и правки в части заполнения реквизита «Номер казначейского счета»;</w:t>
            </w:r>
            <w:r/>
          </w:p>
          <w:p>
            <w:pPr>
              <w:pStyle w:val="1318"/>
            </w:pPr>
            <w:r>
              <w:t xml:space="preserve">внесены правки в п. 4.2.2 в части заполнения реквизита «Номер казначейского счета»;</w:t>
            </w:r>
            <w:r/>
          </w:p>
          <w:p>
            <w:pPr>
              <w:pStyle w:val="1318"/>
            </w:pPr>
            <w:r>
              <w:t xml:space="preserve">внесены изменения в п. 4.2.2, п. 4.2.3, п. 4.2.8 на основании доработок:</w:t>
            </w:r>
            <w:r/>
          </w:p>
          <w:p>
            <w:pPr>
              <w:pStyle w:val="1318"/>
            </w:pPr>
            <w:r>
              <w:t xml:space="preserve">по открытию ЛС по переданным полномочиям;</w:t>
            </w:r>
            <w:r/>
          </w:p>
          <w:p>
            <w:pPr>
              <w:pStyle w:val="1318"/>
            </w:pPr>
            <w:r>
              <w:t xml:space="preserve">открытие ЛС с типом «71» по бюджету субъекта/местному бюджету;</w:t>
            </w:r>
            <w:r/>
          </w:p>
          <w:p>
            <w:pPr>
              <w:pStyle w:val="1318"/>
            </w:pPr>
            <w:r>
              <w:t xml:space="preserve">возврат на редактирование «Уведомления клиента об открытии/переоформлении/закрытии Лицевого счета»;</w:t>
            </w:r>
            <w:r/>
          </w:p>
          <w:p>
            <w:pPr>
              <w:pStyle w:val="1318"/>
            </w:pPr>
            <w:r>
              <w:t xml:space="preserve">внесены правки в п. 4.2 и п. 4.3 в части открытия Лицевых счетов в Финансовых органах;</w:t>
            </w:r>
            <w:r/>
          </w:p>
          <w:p>
            <w:pPr>
              <w:pStyle w:val="1318"/>
            </w:pPr>
            <w:r>
              <w:t xml:space="preserve">добавлен п. 4.12;</w:t>
            </w:r>
            <w:r/>
          </w:p>
          <w:p>
            <w:pPr>
              <w:pStyle w:val="1318"/>
            </w:pPr>
            <w:r>
              <w:t xml:space="preserve">внесены правки в п. 4.2 и п. 4.3 в части проведения бюджетного мониторинга;</w:t>
            </w:r>
            <w:r/>
          </w:p>
          <w:p>
            <w:pPr>
              <w:pStyle w:val="1318"/>
            </w:pPr>
            <w:r>
              <w:t xml:space="preserve">добавлен п. 4.2.8.1</w:t>
            </w:r>
            <w:r/>
          </w:p>
        </w:tc>
      </w:tr>
      <w:tr>
        <w:tblPrEx/>
        <w:trPr>
          <w:trHeight w:val="20"/>
        </w:trPr>
        <w:tc>
          <w:tcPr>
            <w:tcW w:w="465" w:type="pct"/>
            <w:textDirection w:val="lrTb"/>
            <w:noWrap w:val="false"/>
          </w:tcPr>
          <w:p>
            <w:pPr>
              <w:pStyle w:val="1316"/>
            </w:pPr>
            <w:r>
              <w:t xml:space="preserve">02.03</w:t>
            </w:r>
            <w:r/>
          </w:p>
        </w:tc>
        <w:tc>
          <w:tcPr>
            <w:tcW w:w="647" w:type="pct"/>
            <w:textDirection w:val="lrTb"/>
            <w:noWrap w:val="false"/>
          </w:tcPr>
          <w:p>
            <w:pPr>
              <w:pStyle w:val="1316"/>
            </w:pPr>
            <w:r>
              <w:t xml:space="preserve">20.09.2022</w:t>
            </w:r>
            <w:r/>
          </w:p>
        </w:tc>
        <w:tc>
          <w:tcPr>
            <w:tcW w:w="950" w:type="pct"/>
            <w:textDirection w:val="lrTb"/>
            <w:noWrap w:val="false"/>
          </w:tcPr>
          <w:p>
            <w:pPr>
              <w:pStyle w:val="1316"/>
            </w:pPr>
            <w:r>
              <w:t xml:space="preserve">Даниленко А. Р.</w:t>
            </w:r>
            <w:r/>
          </w:p>
        </w:tc>
        <w:tc>
          <w:tcPr>
            <w:tcW w:w="2938" w:type="pct"/>
            <w:textDirection w:val="lrTb"/>
            <w:noWrap w:val="false"/>
          </w:tcPr>
          <w:p>
            <w:pPr>
              <w:pStyle w:val="1316"/>
            </w:pPr>
            <w:r>
              <w:t xml:space="preserve">Документ актуализирован по результатам проведения опытной эксплуатации в соответствии с Государственным контрактом от 30.05.2022 № ФКУ0200/05/2022/РИС. Внесены следующие изменения:</w:t>
            </w:r>
            <w:r/>
          </w:p>
          <w:p>
            <w:pPr>
              <w:pStyle w:val="1318"/>
            </w:pPr>
            <w:r>
              <w:t xml:space="preserve">внесены правки в п. 4.2.3, п. 4.34, п. 4.2.8.1, п. 4.3 в части проведения бюджетного мониторинга;</w:t>
            </w:r>
            <w:r/>
          </w:p>
          <w:p>
            <w:pPr>
              <w:pStyle w:val="1318"/>
            </w:pPr>
            <w:r>
              <w:t xml:space="preserve">внесены правки в п. 4.7 в части включения / отключения проверки бюджетного мониторинга</w:t>
            </w:r>
            <w:r/>
          </w:p>
        </w:tc>
      </w:tr>
      <w:tr>
        <w:tblPrEx/>
        <w:trPr>
          <w:trHeight w:val="20"/>
        </w:trPr>
        <w:tc>
          <w:tcPr>
            <w:tcW w:w="465" w:type="pct"/>
            <w:textDirection w:val="lrTb"/>
            <w:noWrap w:val="false"/>
          </w:tcPr>
          <w:p>
            <w:pPr>
              <w:pStyle w:val="1316"/>
            </w:pPr>
            <w:r>
              <w:t xml:space="preserve">02.04</w:t>
            </w:r>
            <w:r/>
          </w:p>
        </w:tc>
        <w:tc>
          <w:tcPr>
            <w:tcW w:w="647" w:type="pct"/>
            <w:textDirection w:val="lrTb"/>
            <w:noWrap w:val="false"/>
          </w:tcPr>
          <w:p>
            <w:pPr>
              <w:pStyle w:val="1316"/>
            </w:pPr>
            <w:r>
              <w:t xml:space="preserve">11.10.2022</w:t>
            </w:r>
            <w:r/>
          </w:p>
        </w:tc>
        <w:tc>
          <w:tcPr>
            <w:tcW w:w="950" w:type="pct"/>
            <w:textDirection w:val="lrTb"/>
            <w:noWrap w:val="false"/>
          </w:tcPr>
          <w:p>
            <w:pPr>
              <w:pStyle w:val="1316"/>
            </w:pPr>
            <w:r>
              <w:t xml:space="preserve">Даниленко А. Р.</w:t>
            </w:r>
            <w:r/>
          </w:p>
        </w:tc>
        <w:tc>
          <w:tcPr>
            <w:tcW w:w="2938" w:type="pct"/>
            <w:textDirection w:val="lrTb"/>
            <w:noWrap w:val="false"/>
          </w:tcPr>
          <w:p>
            <w:pPr>
              <w:pStyle w:val="1316"/>
            </w:pPr>
            <w:r>
              <w:rPr>
                <w:szCs w:val="22"/>
              </w:rPr>
              <w:t xml:space="preserve">Внесены изменения по замечаниям Заказчика в соответствии с письмом ФКУ «ЦОКР» от 10.10.2022 № 99-24-16/10497 в соответствии с Государственным контрактом от 30.05.2022 № ФКУ0200/05/2022/РИС в раздел 4.3</w:t>
            </w:r>
            <w:r/>
          </w:p>
        </w:tc>
      </w:tr>
      <w:tr>
        <w:tblPrEx/>
        <w:trPr>
          <w:trHeight w:val="20"/>
        </w:trPr>
        <w:tc>
          <w:tcPr>
            <w:tcW w:w="465" w:type="pct"/>
            <w:textDirection w:val="lrTb"/>
            <w:noWrap w:val="false"/>
          </w:tcPr>
          <w:p>
            <w:pPr>
              <w:pStyle w:val="1316"/>
            </w:pPr>
            <w:r>
              <w:t xml:space="preserve">03.00</w:t>
            </w:r>
            <w:r/>
          </w:p>
        </w:tc>
        <w:tc>
          <w:tcPr>
            <w:tcW w:w="647" w:type="pct"/>
            <w:textDirection w:val="lrTb"/>
            <w:noWrap w:val="false"/>
          </w:tcPr>
          <w:p>
            <w:pPr>
              <w:pStyle w:val="1316"/>
            </w:pPr>
            <w:r>
              <w:t xml:space="preserve">21.10.2022</w:t>
            </w:r>
            <w:r/>
          </w:p>
        </w:tc>
        <w:tc>
          <w:tcPr>
            <w:tcW w:w="950" w:type="pct"/>
            <w:textDirection w:val="lrTb"/>
            <w:noWrap w:val="false"/>
          </w:tcPr>
          <w:p>
            <w:pPr>
              <w:pStyle w:val="1316"/>
            </w:pPr>
            <w:r>
              <w:t xml:space="preserve">Снегирева Н. А.</w:t>
            </w:r>
            <w:r/>
          </w:p>
          <w:p>
            <w:pPr>
              <w:pStyle w:val="1316"/>
            </w:pPr>
            <w:r>
              <w:t xml:space="preserve">Шведова М. А.</w:t>
            </w:r>
            <w:r/>
          </w:p>
          <w:p>
            <w:pPr>
              <w:pStyle w:val="1316"/>
            </w:pPr>
            <w:r>
              <w:t xml:space="preserve">Даниленко А. Р.</w:t>
            </w:r>
            <w:r/>
          </w:p>
        </w:tc>
        <w:tc>
          <w:tcPr>
            <w:tcW w:w="2938" w:type="pct"/>
            <w:textDirection w:val="lrTb"/>
            <w:noWrap w:val="false"/>
          </w:tcPr>
          <w:p>
            <w:pPr>
              <w:pStyle w:val="1316"/>
            </w:pPr>
            <w:r>
              <w:t xml:space="preserve">Документ актуализир</w:t>
            </w:r>
            <w:r>
              <w:t xml:space="preserve">ован в соответствии с Государственным контрактом от 15.02.2022 № ФКУ0062/02/2022/РИС (2-й период работ по развитию подсистемы ведения нормативной справочной информации). Внесены изменения в пп. 4.5.1.2, 4.2.2, 4.2.3, добавлены пп. п. 4.4.2.5, 4.2.8.1, 4.12</w:t>
            </w:r>
            <w:r/>
          </w:p>
        </w:tc>
      </w:tr>
      <w:tr>
        <w:tblPrEx/>
        <w:trPr>
          <w:trHeight w:val="20"/>
        </w:trPr>
        <w:tc>
          <w:tcPr>
            <w:tcW w:w="465" w:type="pct"/>
            <w:textDirection w:val="lrTb"/>
            <w:noWrap w:val="false"/>
          </w:tcPr>
          <w:p>
            <w:pPr>
              <w:pStyle w:val="1316"/>
            </w:pPr>
            <w:r>
              <w:t xml:space="preserve">03.01</w:t>
            </w:r>
            <w:r/>
          </w:p>
        </w:tc>
        <w:tc>
          <w:tcPr>
            <w:tcW w:w="647" w:type="pct"/>
            <w:textDirection w:val="lrTb"/>
            <w:noWrap w:val="false"/>
          </w:tcPr>
          <w:p>
            <w:pPr>
              <w:pStyle w:val="1316"/>
            </w:pPr>
            <w:r>
              <w:t xml:space="preserve">24.11.2022</w:t>
            </w:r>
            <w:r/>
          </w:p>
        </w:tc>
        <w:tc>
          <w:tcPr>
            <w:tcW w:w="950" w:type="pct"/>
            <w:textDirection w:val="lrTb"/>
            <w:noWrap w:val="false"/>
          </w:tcPr>
          <w:p>
            <w:pPr>
              <w:pStyle w:val="1316"/>
            </w:pPr>
            <w:r>
              <w:t xml:space="preserve">Снегирева Н. А.</w:t>
            </w:r>
            <w:r/>
          </w:p>
        </w:tc>
        <w:tc>
          <w:tcPr>
            <w:tcW w:w="2938" w:type="pct"/>
            <w:textDirection w:val="lrTb"/>
            <w:noWrap w:val="false"/>
          </w:tcPr>
          <w:p>
            <w:pPr>
              <w:pStyle w:val="1316"/>
            </w:pPr>
            <w:r>
              <w:t xml:space="preserve">Внесены изменения по результатам проведения предварительных испытаний на основании Государственного контракта от 15.02.2022 № ФКУ0062/02/2022/РИС (2-й период работ по развитию подсистемы ведения нормативной справочной информации) в пп. 4.2.2, 4.2.3</w:t>
            </w:r>
            <w:r/>
          </w:p>
        </w:tc>
      </w:tr>
      <w:tr>
        <w:tblPrEx/>
        <w:trPr>
          <w:trHeight w:val="20"/>
        </w:trPr>
        <w:tc>
          <w:tcPr>
            <w:tcW w:w="465" w:type="pct"/>
            <w:textDirection w:val="lrTb"/>
            <w:noWrap w:val="false"/>
          </w:tcPr>
          <w:p>
            <w:pPr>
              <w:pStyle w:val="1316"/>
            </w:pPr>
            <w:r>
              <w:t xml:space="preserve">03.02</w:t>
            </w:r>
            <w:r/>
          </w:p>
        </w:tc>
        <w:tc>
          <w:tcPr>
            <w:tcW w:w="647" w:type="pct"/>
            <w:textDirection w:val="lrTb"/>
            <w:noWrap w:val="false"/>
          </w:tcPr>
          <w:p>
            <w:pPr>
              <w:pStyle w:val="1316"/>
            </w:pPr>
            <w:r>
              <w:t xml:space="preserve">22.02.2023</w:t>
            </w:r>
            <w:r/>
          </w:p>
        </w:tc>
        <w:tc>
          <w:tcPr>
            <w:tcW w:w="950" w:type="pct"/>
            <w:textDirection w:val="lrTb"/>
            <w:noWrap w:val="false"/>
          </w:tcPr>
          <w:p>
            <w:pPr>
              <w:pStyle w:val="1316"/>
            </w:pPr>
            <w:r>
              <w:t xml:space="preserve">Даниленко А. Р.</w:t>
            </w:r>
            <w:r/>
          </w:p>
        </w:tc>
        <w:tc>
          <w:tcPr>
            <w:tcW w:w="2938" w:type="pct"/>
            <w:textDirection w:val="lrTb"/>
            <w:noWrap w:val="false"/>
          </w:tcPr>
          <w:p>
            <w:pPr>
              <w:pStyle w:val="1316"/>
            </w:pPr>
            <w:r>
              <w:t xml:space="preserve">Внесены изменения в рамках гарантийных обязательст</w:t>
            </w:r>
            <w:r>
              <w:t xml:space="preserve">в на основании Государственного контракта от 15.02.2022 № ФКУ0062/02/2022/РИС (2-й период работ по развитию подсистемы ведения нормативной справочной информации). Внесены изменения в пп. 4.2.1.1, 4.2.1.2, 4.2.2 – 4.2.8, 4.3, 4.5.1.1, 4.5.1.2, 4.14.1.1, 6.2</w:t>
            </w:r>
            <w:r/>
          </w:p>
        </w:tc>
      </w:tr>
      <w:tr>
        <w:tblPrEx/>
        <w:trPr>
          <w:trHeight w:val="20"/>
        </w:trPr>
        <w:tc>
          <w:tcPr>
            <w:tcW w:w="465" w:type="pct"/>
            <w:textDirection w:val="lrTb"/>
            <w:noWrap w:val="false"/>
          </w:tcPr>
          <w:p>
            <w:pPr>
              <w:pStyle w:val="1316"/>
            </w:pPr>
            <w:r>
              <w:t xml:space="preserve">03.03</w:t>
            </w:r>
            <w:r/>
          </w:p>
        </w:tc>
        <w:tc>
          <w:tcPr>
            <w:tcW w:w="647" w:type="pct"/>
            <w:textDirection w:val="lrTb"/>
            <w:noWrap w:val="false"/>
          </w:tcPr>
          <w:p>
            <w:pPr>
              <w:pStyle w:val="1316"/>
            </w:pPr>
            <w:r>
              <w:t xml:space="preserve">15.03.2023</w:t>
            </w:r>
            <w:r/>
          </w:p>
        </w:tc>
        <w:tc>
          <w:tcPr>
            <w:tcW w:w="950" w:type="pct"/>
            <w:textDirection w:val="lrTb"/>
            <w:noWrap w:val="false"/>
          </w:tcPr>
          <w:p>
            <w:pPr>
              <w:pStyle w:val="1316"/>
            </w:pPr>
            <w:r>
              <w:t xml:space="preserve">Даниленко А. Р.</w:t>
            </w:r>
            <w:r/>
          </w:p>
        </w:tc>
        <w:tc>
          <w:tcPr>
            <w:tcW w:w="2938" w:type="pct"/>
            <w:textDirection w:val="lrTb"/>
            <w:noWrap w:val="false"/>
          </w:tcPr>
          <w:p>
            <w:pPr>
              <w:pStyle w:val="1316"/>
            </w:pPr>
            <w:r>
              <w:t xml:space="preserve">Внесены изменения по замечаниям Заказчика, на основании письма ФКУ «ЦОКР» от 10.03.2023 № 99-23-14/2485, в рамках гарантийных обязательств на основании Государственного контракта от 15.02.2022 № ФКУ0062/02/2022/РИС (2-й период работ по развитию </w:t>
            </w:r>
            <w:r>
              <w:t xml:space="preserve">подсистемы ведения нормативной справочной информации). Внесены изменения в п. 3.1</w:t>
            </w:r>
            <w:r/>
          </w:p>
        </w:tc>
      </w:tr>
      <w:tr>
        <w:tblPrEx/>
        <w:trPr>
          <w:trHeight w:val="20"/>
        </w:trPr>
        <w:tc>
          <w:tcPr>
            <w:tcW w:w="465" w:type="pct"/>
            <w:textDirection w:val="lrTb"/>
            <w:noWrap w:val="false"/>
          </w:tcPr>
          <w:p>
            <w:pPr>
              <w:pStyle w:val="1316"/>
            </w:pPr>
            <w:r>
              <w:t xml:space="preserve">04.00</w:t>
            </w:r>
            <w:r/>
          </w:p>
        </w:tc>
        <w:tc>
          <w:tcPr>
            <w:tcW w:w="647" w:type="pct"/>
            <w:textDirection w:val="lrTb"/>
            <w:noWrap w:val="false"/>
          </w:tcPr>
          <w:p>
            <w:pPr>
              <w:pStyle w:val="1316"/>
            </w:pPr>
            <w:r>
              <w:t xml:space="preserve">24.11.2023</w:t>
            </w:r>
            <w:r/>
          </w:p>
        </w:tc>
        <w:tc>
          <w:tcPr>
            <w:tcW w:w="950" w:type="pct"/>
            <w:textDirection w:val="lrTb"/>
            <w:noWrap w:val="false"/>
          </w:tcPr>
          <w:p>
            <w:pPr>
              <w:pStyle w:val="1316"/>
            </w:pPr>
            <w:r>
              <w:t xml:space="preserve">Дорогова Э. В.</w:t>
            </w:r>
            <w:r/>
          </w:p>
          <w:p>
            <w:pPr>
              <w:pStyle w:val="1316"/>
            </w:pPr>
            <w:r>
              <w:t xml:space="preserve">Даниленко А. Р.</w:t>
            </w:r>
            <w:r/>
          </w:p>
        </w:tc>
        <w:tc>
          <w:tcPr>
            <w:tcW w:w="2938" w:type="pct"/>
            <w:textDirection w:val="lrTb"/>
            <w:noWrap w:val="false"/>
          </w:tcPr>
          <w:p>
            <w:pPr>
              <w:pStyle w:val="1316"/>
            </w:pPr>
            <w:r>
              <w:t xml:space="preserve">Документ актуализирован по результатам проведения опытной эксплуатации и по замечаниям </w:t>
            </w:r>
            <w:r>
              <w:t xml:space="preserve">Заказчика, на основании письма ФКУ «ЦОКР» от 22.09.2023 № 99-23-14/10729, в рамках исполнения Государственного контракта от 12.07.2023 № ФКУ0249/07/2023/РИС (работы по развитию подсистемы ведения нормативной справочной информации). Внесены изменения в пп. </w:t>
            </w:r>
            <w:r>
              <w:t xml:space="preserve">3.1</w:t>
            </w:r>
            <w:r>
              <w:t xml:space="preserve">, 4.2, 4.6, 4.8. Добавлены пп. 4.4, 4.8.5, 4.9.4. В таблице 2 обновлены термины и сокращения</w:t>
            </w:r>
            <w:r/>
          </w:p>
        </w:tc>
      </w:tr>
      <w:tr>
        <w:tblPrEx/>
        <w:trPr>
          <w:trHeight w:val="20"/>
        </w:trPr>
        <w:tc>
          <w:tcPr>
            <w:tcW w:w="465" w:type="pct"/>
            <w:textDirection w:val="lrTb"/>
            <w:noWrap w:val="false"/>
          </w:tcPr>
          <w:p>
            <w:pPr>
              <w:pStyle w:val="1316"/>
            </w:pPr>
            <w:r>
              <w:t xml:space="preserve">05.00</w:t>
            </w:r>
            <w:r/>
          </w:p>
        </w:tc>
        <w:tc>
          <w:tcPr>
            <w:tcW w:w="647" w:type="pct"/>
            <w:textDirection w:val="lrTb"/>
            <w:noWrap w:val="false"/>
          </w:tcPr>
          <w:p>
            <w:pPr>
              <w:pStyle w:val="1316"/>
            </w:pPr>
            <w:r>
              <w:t xml:space="preserve">11.04.2024</w:t>
            </w:r>
            <w:r/>
          </w:p>
        </w:tc>
        <w:tc>
          <w:tcPr>
            <w:tcW w:w="950" w:type="pct"/>
            <w:textDirection w:val="lrTb"/>
            <w:noWrap w:val="false"/>
          </w:tcPr>
          <w:p>
            <w:pPr>
              <w:pStyle w:val="1316"/>
            </w:pPr>
            <w:r>
              <w:t xml:space="preserve">Пеканова И. А.</w:t>
            </w:r>
            <w:r/>
          </w:p>
          <w:p>
            <w:pPr>
              <w:pStyle w:val="1316"/>
            </w:pPr>
            <w:r>
              <w:t xml:space="preserve">Валеев В. Р.</w:t>
            </w:r>
            <w:r/>
          </w:p>
          <w:p>
            <w:pPr>
              <w:pStyle w:val="1316"/>
            </w:pPr>
            <w:r>
              <w:t xml:space="preserve">Даниленко А. Р.</w:t>
            </w:r>
            <w:r/>
          </w:p>
        </w:tc>
        <w:tc>
          <w:tcPr>
            <w:tcW w:w="2938" w:type="pct"/>
            <w:textDirection w:val="lrTb"/>
            <w:noWrap w:val="false"/>
          </w:tcPr>
          <w:p>
            <w:pPr>
              <w:pStyle w:val="1316"/>
            </w:pPr>
            <w:r>
              <w:t xml:space="preserve">Документ актуализирован на основании Государственного контракта от 29.01.2024 № ФКУ0017/01/2024/РИС (1-й этап работ по развитию подсистемы ведения нормативной справочной информации):</w:t>
            </w:r>
            <w:r/>
          </w:p>
          <w:p>
            <w:pPr>
              <w:pStyle w:val="1318"/>
            </w:pPr>
            <w:r>
              <w:t xml:space="preserve">внесены изменения в разделы 1, 4.2.1.1, 4.2.1.2, 4.2.2, 4.2.3, 4.5.2.2; </w:t>
            </w:r>
            <w:r/>
          </w:p>
          <w:p>
            <w:pPr>
              <w:pStyle w:val="1318"/>
            </w:pPr>
            <w:r>
              <w:t xml:space="preserve">добавлен пп. 3.1, 4.5.2.3</w:t>
            </w:r>
            <w:r/>
          </w:p>
        </w:tc>
      </w:tr>
      <w:tr>
        <w:tblPrEx/>
        <w:trPr>
          <w:trHeight w:val="20"/>
        </w:trPr>
        <w:tc>
          <w:tcPr>
            <w:tcW w:w="465" w:type="pct"/>
            <w:textDirection w:val="lrTb"/>
            <w:noWrap w:val="false"/>
          </w:tcPr>
          <w:p>
            <w:pPr>
              <w:pStyle w:val="1316"/>
            </w:pPr>
            <w:r>
              <w:t xml:space="preserve">06.00</w:t>
            </w:r>
            <w:r/>
          </w:p>
        </w:tc>
        <w:tc>
          <w:tcPr>
            <w:tcW w:w="647" w:type="pct"/>
            <w:textDirection w:val="lrTb"/>
            <w:noWrap w:val="false"/>
          </w:tcPr>
          <w:p>
            <w:pPr>
              <w:pStyle w:val="1316"/>
            </w:pPr>
            <w:r>
              <w:t xml:space="preserve">12.04.2024</w:t>
            </w:r>
            <w:r/>
          </w:p>
        </w:tc>
        <w:tc>
          <w:tcPr>
            <w:tcW w:w="950" w:type="pct"/>
            <w:textDirection w:val="lrTb"/>
            <w:noWrap w:val="false"/>
          </w:tcPr>
          <w:p>
            <w:pPr>
              <w:pStyle w:val="1316"/>
            </w:pPr>
            <w:r>
              <w:t xml:space="preserve">Даниленко А. Р.</w:t>
            </w:r>
            <w:r/>
          </w:p>
        </w:tc>
        <w:tc>
          <w:tcPr>
            <w:tcW w:w="2938" w:type="pct"/>
            <w:textDirection w:val="lrTb"/>
            <w:noWrap w:val="false"/>
          </w:tcPr>
          <w:p>
            <w:pPr>
              <w:pStyle w:val="1316"/>
            </w:pPr>
            <w:r>
              <w:t xml:space="preserve">Документ актуализирован на основании Государственного контракта от 29.01.2024 № ФКУ0018/01/2024/РИС (1-й этап работ по развитию подсистемы ведения нормативной справочной информации). </w:t>
            </w:r>
            <w:r>
              <w:t xml:space="preserve">Документ </w:t>
            </w:r>
            <w:r>
              <w:t xml:space="preserve">«Руководство работников (представителей) участников системы «Электронный бюджет» по работе с подсистемой (компонентом, модулем)» (код документа 54819512.20.19,04.ЭБ26.001-05.00 1(2,5,8))</w:t>
            </w:r>
            <w:r>
              <w:t xml:space="preserve"> разделен</w:t>
            </w:r>
            <w:r>
              <w:t xml:space="preserve"> на следующие тома</w:t>
            </w:r>
            <w:r>
              <w:t xml:space="preserve">: </w:t>
            </w:r>
            <w:r/>
          </w:p>
          <w:p>
            <w:pPr>
              <w:pStyle w:val="1318"/>
            </w:pPr>
            <w:r>
              <w:t xml:space="preserve">Том 1. Руководство для сотрудников Клиента; </w:t>
            </w:r>
            <w:r/>
          </w:p>
          <w:p>
            <w:pPr>
              <w:pStyle w:val="1318"/>
            </w:pPr>
            <w:r>
              <w:t xml:space="preserve">Том 2. Руководство для сотрудников ТОФК</w:t>
            </w:r>
            <w:r/>
          </w:p>
        </w:tc>
      </w:tr>
      <w:tr>
        <w:tblPrEx/>
        <w:trPr>
          <w:trHeight w:val="20"/>
        </w:trPr>
        <w:tc>
          <w:tcPr>
            <w:tcW w:w="465" w:type="pct"/>
            <w:textDirection w:val="lrTb"/>
            <w:noWrap w:val="false"/>
          </w:tcPr>
          <w:p>
            <w:pPr>
              <w:pStyle w:val="1316"/>
            </w:pPr>
            <w:r>
              <w:t xml:space="preserve">06.01</w:t>
            </w:r>
            <w:r/>
          </w:p>
        </w:tc>
        <w:tc>
          <w:tcPr>
            <w:tcW w:w="647" w:type="pct"/>
            <w:textDirection w:val="lrTb"/>
            <w:noWrap w:val="false"/>
          </w:tcPr>
          <w:p>
            <w:pPr>
              <w:pStyle w:val="1316"/>
            </w:pPr>
            <w:r>
              <w:t xml:space="preserve">15.05.2024</w:t>
            </w:r>
            <w:r/>
          </w:p>
        </w:tc>
        <w:tc>
          <w:tcPr>
            <w:tcW w:w="950" w:type="pct"/>
            <w:textDirection w:val="lrTb"/>
            <w:noWrap w:val="false"/>
          </w:tcPr>
          <w:p>
            <w:pPr>
              <w:pStyle w:val="1316"/>
            </w:pPr>
            <w:r>
              <w:t xml:space="preserve">Даниленко А. Р.</w:t>
            </w:r>
            <w:r/>
          </w:p>
        </w:tc>
        <w:tc>
          <w:tcPr>
            <w:tcW w:w="2938" w:type="pct"/>
            <w:textDirection w:val="lrTb"/>
            <w:noWrap w:val="false"/>
          </w:tcPr>
          <w:p>
            <w:pPr>
              <w:pStyle w:val="1316"/>
            </w:pPr>
            <w:r>
              <w:t xml:space="preserve">Внесены изменения по замечаниям Заказчика на основании Государственного контракта от 29.01.2024 № ФКУ0018/01/2024/РИС (1-й этап работ по развитию подсистемы ведения нормативной справочной информации) в пп. </w:t>
            </w:r>
            <w:r>
              <w:fldChar w:fldCharType="begin"/>
            </w:r>
            <w:r>
              <w:instrText xml:space="preserve"> REF _Ref166569190 \r \h </w:instrText>
            </w:r>
            <w:r>
              <w:instrText xml:space="preserve"> \* MERGEFORMAT </w:instrText>
            </w:r>
            <w:r>
              <w:fldChar w:fldCharType="separate"/>
            </w:r>
            <w:r>
              <w:t xml:space="preserve">1.4</w:t>
            </w:r>
            <w:r>
              <w:fldChar w:fldCharType="end"/>
            </w:r>
            <w:r>
              <w:t xml:space="preserve">, </w:t>
            </w:r>
            <w:r>
              <w:fldChar w:fldCharType="begin"/>
            </w:r>
            <w:r>
              <w:instrText xml:space="preserve"> REF _Ref166569200 \r \h </w:instrText>
            </w:r>
            <w:r>
              <w:instrText xml:space="preserve"> \* MERGEFORMAT </w:instrText>
            </w:r>
            <w:r>
              <w:fldChar w:fldCharType="separate"/>
            </w:r>
            <w:r>
              <w:t xml:space="preserve">3.1</w:t>
            </w:r>
            <w:r>
              <w:fldChar w:fldCharType="end"/>
            </w:r>
            <w:r>
              <w:t xml:space="preserve">, </w:t>
            </w:r>
            <w:r>
              <w:fldChar w:fldCharType="begin"/>
            </w:r>
            <w:r>
              <w:instrText xml:space="preserve"> REF _Ref166569228 \r \h </w:instrText>
            </w:r>
            <w:r>
              <w:instrText xml:space="preserve"> \* MERGEFORMAT </w:instrText>
            </w:r>
            <w:r>
              <w:fldChar w:fldCharType="separate"/>
            </w:r>
            <w:r>
              <w:t xml:space="preserve">6.1</w:t>
            </w:r>
            <w:r>
              <w:fldChar w:fldCharType="end"/>
            </w:r>
            <w:r/>
          </w:p>
        </w:tc>
      </w:tr>
      <w:tr>
        <w:tblPrEx/>
        <w:trPr>
          <w:trHeight w:val="20"/>
        </w:trPr>
        <w:tc>
          <w:tcPr>
            <w:tcW w:w="465" w:type="pct"/>
            <w:textDirection w:val="lrTb"/>
            <w:noWrap w:val="false"/>
          </w:tcPr>
          <w:p>
            <w:pPr>
              <w:pStyle w:val="1316"/>
            </w:pPr>
            <w:r>
              <w:t xml:space="preserve">06.02</w:t>
            </w:r>
            <w:r/>
          </w:p>
        </w:tc>
        <w:tc>
          <w:tcPr>
            <w:tcW w:w="647" w:type="pct"/>
            <w:textDirection w:val="lrTb"/>
            <w:noWrap w:val="false"/>
          </w:tcPr>
          <w:p>
            <w:pPr>
              <w:pStyle w:val="1316"/>
            </w:pPr>
            <w:r>
              <w:t xml:space="preserve">07.08.2024</w:t>
            </w:r>
            <w:r/>
          </w:p>
        </w:tc>
        <w:tc>
          <w:tcPr>
            <w:tcW w:w="950" w:type="pct"/>
            <w:textDirection w:val="lrTb"/>
            <w:noWrap w:val="false"/>
          </w:tcPr>
          <w:p>
            <w:pPr>
              <w:pStyle w:val="1316"/>
            </w:pPr>
            <w:r>
              <w:t xml:space="preserve">Морозова Н.</w:t>
            </w:r>
            <w:r>
              <w:rPr>
                <w:lang w:val="en-US"/>
              </w:rPr>
              <w:t xml:space="preserve"> </w:t>
            </w:r>
            <w:r>
              <w:t xml:space="preserve">С</w:t>
            </w:r>
            <w:r>
              <w:rPr>
                <w:lang w:val="en-US"/>
              </w:rPr>
              <w:t xml:space="preserve">.</w:t>
            </w:r>
            <w:r/>
          </w:p>
        </w:tc>
        <w:tc>
          <w:tcPr>
            <w:tcW w:w="2938" w:type="pct"/>
            <w:textDirection w:val="lrTb"/>
            <w:noWrap w:val="false"/>
          </w:tcPr>
          <w:p>
            <w:pPr>
              <w:pStyle w:val="1316"/>
            </w:pPr>
            <w:r>
              <w:t xml:space="preserve">Документ актуализирован на основании Государственного контракта от 10.10.2023 № ФКУ0345/10/2023/ЭГИС (4-й период оказания услуг по обеспечению эксплуатации </w:t>
            </w:r>
            <w:r>
              <w:rPr>
                <w:lang w:eastAsia="en-US"/>
              </w:rPr>
              <w:t xml:space="preserve">государственной интегрированной информационной системы управления общественными финансами «Электронный бюджет»</w:t>
            </w:r>
            <w:r>
              <w:t xml:space="preserve"> в части подсистемы ведения нормативной справочной информации). Внесены уточнения в </w:t>
            </w:r>
            <w:r>
              <w:t xml:space="preserve">п.</w:t>
            </w:r>
            <w:r>
              <w:t xml:space="preserve"> </w:t>
            </w:r>
            <w:r>
              <w:fldChar w:fldCharType="begin"/>
            </w:r>
            <w:r>
              <w:instrText xml:space="preserve"> REF _Ref166569200 \r \h  \* MERGEFORMAT </w:instrText>
            </w:r>
            <w:r>
              <w:fldChar w:fldCharType="separate"/>
            </w:r>
            <w:r>
              <w:t xml:space="preserve">3.1</w:t>
            </w:r>
            <w:r>
              <w:fldChar w:fldCharType="end"/>
            </w:r>
            <w:r/>
          </w:p>
        </w:tc>
      </w:tr>
      <w:tr>
        <w:tblPrEx/>
        <w:trPr>
          <w:trHeight w:val="20"/>
        </w:trPr>
        <w:tc>
          <w:tcPr>
            <w:tcW w:w="465" w:type="pct"/>
            <w:textDirection w:val="lrTb"/>
            <w:noWrap w:val="false"/>
          </w:tcPr>
          <w:p>
            <w:pPr>
              <w:pStyle w:val="1316"/>
            </w:pPr>
            <w:r>
              <w:t xml:space="preserve">07.00</w:t>
            </w:r>
            <w:r/>
          </w:p>
        </w:tc>
        <w:tc>
          <w:tcPr>
            <w:tcW w:w="647" w:type="pct"/>
            <w:textDirection w:val="lrTb"/>
            <w:noWrap w:val="false"/>
          </w:tcPr>
          <w:p>
            <w:pPr>
              <w:pStyle w:val="1316"/>
            </w:pPr>
            <w:r>
              <w:t xml:space="preserve">08.11.2024</w:t>
            </w:r>
            <w:r/>
          </w:p>
        </w:tc>
        <w:tc>
          <w:tcPr>
            <w:tcW w:w="950" w:type="pct"/>
            <w:textDirection w:val="lrTb"/>
            <w:noWrap w:val="false"/>
          </w:tcPr>
          <w:p>
            <w:pPr>
              <w:pStyle w:val="1316"/>
            </w:pPr>
            <w:r>
              <w:t xml:space="preserve">Даниленко А. Р.</w:t>
            </w:r>
            <w:r/>
          </w:p>
        </w:tc>
        <w:tc>
          <w:tcPr>
            <w:tcW w:w="2938" w:type="pct"/>
            <w:textDirection w:val="lrTb"/>
            <w:noWrap w:val="false"/>
          </w:tcPr>
          <w:p>
            <w:pPr>
              <w:pStyle w:val="1316"/>
            </w:pPr>
            <w:r>
              <w:t xml:space="preserve">Внесены изменения по результатам проведения опытной эксплуатации на основании Государственного контракта от 08.07.2024 № ФКУ0236/07/2024/РИС (работы по развитию подсистемы ведения нормативной справочной информации). Внесены изменения в пп. </w:t>
            </w:r>
            <w:r>
              <w:fldChar w:fldCharType="begin"/>
            </w:r>
            <w:r>
              <w:instrText xml:space="preserve"> REF _Ref100071698 \r \h </w:instrText>
            </w:r>
            <w:r>
              <w:instrText xml:space="preserve"> \* MERGEFORMAT </w:instrText>
            </w:r>
            <w:r>
              <w:fldChar w:fldCharType="separate"/>
            </w:r>
            <w:r>
              <w:t xml:space="preserve">3</w:t>
            </w:r>
            <w:r>
              <w:fldChar w:fldCharType="end"/>
            </w:r>
            <w:r>
              <w:t xml:space="preserve">, </w:t>
            </w:r>
            <w:r>
              <w:fldChar w:fldCharType="begin"/>
            </w:r>
            <w:r>
              <w:instrText xml:space="preserve"> REF _Ref216699429 \r \h </w:instrText>
            </w:r>
            <w:r>
              <w:instrText xml:space="preserve"> \* MERGEFORMAT </w:instrText>
            </w:r>
            <w:r>
              <w:fldChar w:fldCharType="separate"/>
            </w:r>
            <w:r>
              <w:t xml:space="preserve">4.2.1.2</w:t>
            </w:r>
            <w:r>
              <w:fldChar w:fldCharType="end"/>
            </w:r>
            <w:r>
              <w:t xml:space="preserve">, </w:t>
            </w:r>
            <w:r>
              <w:fldChar w:fldCharType="begin"/>
            </w:r>
            <w:r>
              <w:instrText xml:space="preserve"> REF _Ref216699437 \r \h </w:instrText>
            </w:r>
            <w:r>
              <w:instrText xml:space="preserve"> \* MERGEFORMAT </w:instrText>
            </w:r>
            <w:r>
              <w:fldChar w:fldCharType="separate"/>
            </w:r>
            <w:r>
              <w:t xml:space="preserve">4.2.1.3</w:t>
            </w:r>
            <w:r>
              <w:fldChar w:fldCharType="end"/>
            </w:r>
            <w:r>
              <w:t xml:space="preserve">, </w:t>
            </w:r>
            <w:r>
              <w:fldChar w:fldCharType="begin"/>
            </w:r>
            <w:r>
              <w:instrText xml:space="preserve"> REF _Ref216699445 \r \h </w:instrText>
            </w:r>
            <w:r>
              <w:instrText xml:space="preserve"> \* MERGEFORMAT </w:instrText>
            </w:r>
            <w:r>
              <w:fldChar w:fldCharType="separate"/>
            </w:r>
            <w:r>
              <w:t xml:space="preserve">4.2.2.3</w:t>
            </w:r>
            <w:r>
              <w:fldChar w:fldCharType="end"/>
            </w:r>
            <w:r/>
          </w:p>
        </w:tc>
      </w:tr>
      <w:tr>
        <w:tblPrEx/>
        <w:trPr>
          <w:trHeight w:val="20"/>
        </w:trPr>
        <w:tc>
          <w:tcPr>
            <w:tcW w:w="465" w:type="pct"/>
            <w:textDirection w:val="lrTb"/>
            <w:noWrap w:val="false"/>
          </w:tcPr>
          <w:p>
            <w:pPr>
              <w:pStyle w:val="1316"/>
            </w:pPr>
            <w:r>
              <w:t xml:space="preserve">07.01</w:t>
            </w:r>
            <w:r/>
          </w:p>
        </w:tc>
        <w:tc>
          <w:tcPr>
            <w:tcW w:w="647" w:type="pct"/>
            <w:textDirection w:val="lrTb"/>
            <w:noWrap w:val="false"/>
          </w:tcPr>
          <w:p>
            <w:pPr>
              <w:pStyle w:val="1316"/>
            </w:pPr>
            <w:r>
              <w:t xml:space="preserve">22.11.2024</w:t>
            </w:r>
            <w:r/>
          </w:p>
        </w:tc>
        <w:tc>
          <w:tcPr>
            <w:tcW w:w="950" w:type="pct"/>
            <w:textDirection w:val="lrTb"/>
            <w:noWrap w:val="false"/>
          </w:tcPr>
          <w:p>
            <w:pPr>
              <w:pStyle w:val="1316"/>
            </w:pPr>
            <w:r>
              <w:t xml:space="preserve">Даниленко А. Р.</w:t>
            </w:r>
            <w:r/>
          </w:p>
        </w:tc>
        <w:tc>
          <w:tcPr>
            <w:tcW w:w="2938" w:type="pct"/>
            <w:textDirection w:val="lrTb"/>
            <w:noWrap w:val="false"/>
          </w:tcPr>
          <w:p>
            <w:pPr>
              <w:pStyle w:val="1316"/>
            </w:pPr>
            <w:r>
              <w:t xml:space="preserve">Внесены изменения по замечаниям Заказчика на основании Государственного контракта от 08.07.2024 № ФКУ0236/07/2024/РИС (работы по развитию подсистемы ведения нормативной справочной информации). Внесены изменения в п. </w:t>
            </w:r>
            <w:r>
              <w:fldChar w:fldCharType="begin"/>
            </w:r>
            <w:r>
              <w:instrText xml:space="preserve"> REF _Ref166569200 \r \h  \* MERGEFORMAT </w:instrText>
            </w:r>
            <w:r>
              <w:fldChar w:fldCharType="separate"/>
            </w:r>
            <w:r>
              <w:t xml:space="preserve">3.1</w:t>
            </w:r>
            <w:r>
              <w:fldChar w:fldCharType="end"/>
            </w:r>
            <w:r/>
          </w:p>
        </w:tc>
      </w:tr>
      <w:tr>
        <w:tblPrEx/>
        <w:trPr>
          <w:trHeight w:val="20"/>
        </w:trPr>
        <w:tc>
          <w:tcPr>
            <w:tcW w:w="465" w:type="pct"/>
            <w:textDirection w:val="lrTb"/>
            <w:noWrap w:val="false"/>
          </w:tcPr>
          <w:p>
            <w:pPr>
              <w:pStyle w:val="1316"/>
            </w:pPr>
            <w:r>
              <w:t xml:space="preserve">08.00</w:t>
            </w:r>
            <w:r/>
          </w:p>
        </w:tc>
        <w:tc>
          <w:tcPr>
            <w:tcW w:w="647" w:type="pct"/>
            <w:textDirection w:val="lrTb"/>
            <w:noWrap w:val="false"/>
          </w:tcPr>
          <w:p>
            <w:pPr>
              <w:pStyle w:val="1316"/>
            </w:pPr>
            <w:r>
              <w:t xml:space="preserve">20.11.2024</w:t>
            </w:r>
            <w:r/>
          </w:p>
        </w:tc>
        <w:tc>
          <w:tcPr>
            <w:tcW w:w="950" w:type="pct"/>
            <w:textDirection w:val="lrTb"/>
            <w:noWrap w:val="false"/>
          </w:tcPr>
          <w:p>
            <w:pPr>
              <w:pStyle w:val="1316"/>
            </w:pPr>
            <w:r>
              <w:t xml:space="preserve">Панина И. С.</w:t>
            </w:r>
            <w:r/>
          </w:p>
          <w:p>
            <w:pPr>
              <w:pStyle w:val="1316"/>
            </w:pPr>
            <w:r>
              <w:t xml:space="preserve">Даниленко А. Р.</w:t>
            </w:r>
            <w:r/>
          </w:p>
        </w:tc>
        <w:tc>
          <w:tcPr>
            <w:tcW w:w="2938" w:type="pct"/>
            <w:textDirection w:val="lrTb"/>
            <w:noWrap w:val="false"/>
          </w:tcPr>
          <w:p>
            <w:pPr>
              <w:pStyle w:val="1316"/>
            </w:pPr>
            <w:r>
              <w:t xml:space="preserve">Внесены изменения по результатам проведения опытной эксплуатации на основании Государственного контракта от 29.01.2024 № ФКУ0017/01/2024/РИС (2-й этап работ по развитию подсистемы ведения нормативной справочной информации). Внесены изменения в пп. </w:t>
            </w:r>
            <w:r>
              <w:fldChar w:fldCharType="begin"/>
            </w:r>
            <w:r>
              <w:instrText xml:space="preserve"> REF _Ref182910505 \r \h  \* MERGEFORMAT </w:instrText>
            </w:r>
            <w:r>
              <w:fldChar w:fldCharType="separate"/>
            </w:r>
            <w:r>
              <w:t xml:space="preserve">1.1</w:t>
            </w:r>
            <w:r>
              <w:fldChar w:fldCharType="end"/>
            </w:r>
            <w:r>
              <w:t xml:space="preserve">, </w:t>
            </w:r>
            <w:r>
              <w:fldChar w:fldCharType="begin"/>
            </w:r>
            <w:r>
              <w:instrText xml:space="preserve"> REF _Ref497933622 \r \h  \* MERGEFORMAT </w:instrText>
            </w:r>
            <w:r>
              <w:fldChar w:fldCharType="separate"/>
            </w:r>
            <w:r>
              <w:t xml:space="preserve">1.3</w:t>
            </w:r>
            <w:r>
              <w:fldChar w:fldCharType="end"/>
            </w:r>
            <w:r>
              <w:t xml:space="preserve">, </w:t>
            </w:r>
            <w:r>
              <w:fldChar w:fldCharType="begin"/>
            </w:r>
            <w:r>
              <w:instrText xml:space="preserve"> REF _Ref166569200 \r \h  \* MERGEFORMAT </w:instrText>
            </w:r>
            <w:r>
              <w:fldChar w:fldCharType="separate"/>
            </w:r>
            <w:r>
              <w:t xml:space="preserve">3.1</w:t>
            </w:r>
            <w:r>
              <w:fldChar w:fldCharType="end"/>
            </w:r>
            <w:r>
              <w:t xml:space="preserve">,</w:t>
            </w:r>
            <w:r>
              <w:t xml:space="preserve"> 4.2,</w:t>
            </w:r>
            <w:r>
              <w:t xml:space="preserve"> добавлен п. </w:t>
            </w:r>
            <w:r>
              <w:fldChar w:fldCharType="begin"/>
            </w:r>
            <w:r>
              <w:instrText xml:space="preserve"> REF _Ref182829213 \r \h  \* MERGEFORMAT </w:instrText>
            </w:r>
            <w:r>
              <w:fldChar w:fldCharType="separate"/>
            </w:r>
            <w:r>
              <w:t xml:space="preserve">6.1.1</w:t>
            </w:r>
            <w:r>
              <w:fldChar w:fldCharType="end"/>
            </w:r>
            <w:r/>
          </w:p>
        </w:tc>
      </w:tr>
      <w:tr>
        <w:tblPrEx/>
        <w:trPr>
          <w:trHeight w:val="20"/>
        </w:trPr>
        <w:tc>
          <w:tcPr>
            <w:tcW w:w="465" w:type="pct"/>
            <w:textDirection w:val="lrTb"/>
            <w:noWrap w:val="false"/>
          </w:tcPr>
          <w:p>
            <w:pPr>
              <w:pStyle w:val="1316"/>
            </w:pPr>
            <w:r/>
            <w:bookmarkStart w:id="773" w:name="_Hlk183014339"/>
            <w:r>
              <w:t xml:space="preserve">09.00</w:t>
            </w:r>
            <w:r/>
          </w:p>
        </w:tc>
        <w:tc>
          <w:tcPr>
            <w:tcW w:w="647" w:type="pct"/>
            <w:textDirection w:val="lrTb"/>
            <w:noWrap w:val="false"/>
          </w:tcPr>
          <w:p>
            <w:pPr>
              <w:pStyle w:val="1316"/>
            </w:pPr>
            <w:r>
              <w:t xml:space="preserve">03</w:t>
            </w:r>
            <w:r>
              <w:t xml:space="preserve">.1</w:t>
            </w:r>
            <w:r>
              <w:t xml:space="preserve">2</w:t>
            </w:r>
            <w:r>
              <w:t xml:space="preserve">.2024</w:t>
            </w:r>
            <w:r/>
          </w:p>
        </w:tc>
        <w:tc>
          <w:tcPr>
            <w:tcW w:w="950" w:type="pct"/>
            <w:textDirection w:val="lrTb"/>
            <w:noWrap w:val="false"/>
          </w:tcPr>
          <w:p>
            <w:pPr>
              <w:pStyle w:val="1316"/>
            </w:pPr>
            <w:r>
              <w:t xml:space="preserve">Панина И. С.</w:t>
            </w:r>
            <w:r/>
          </w:p>
          <w:p>
            <w:pPr>
              <w:pStyle w:val="1316"/>
            </w:pPr>
            <w:r>
              <w:t xml:space="preserve">Даниленко А. Р.</w:t>
            </w:r>
            <w:r/>
          </w:p>
        </w:tc>
        <w:tc>
          <w:tcPr>
            <w:tcW w:w="2938" w:type="pct"/>
            <w:textDirection w:val="lrTb"/>
            <w:noWrap w:val="false"/>
          </w:tcPr>
          <w:p>
            <w:pPr>
              <w:pStyle w:val="1316"/>
            </w:pPr>
            <w:r>
              <w:t xml:space="preserve">Внесены изменения по результатам проведения опытной эксплуатации на основании Государственного контракта от 12.07.2023 № ФКУ0252/07/2023/РИС (1-й период работ по развитию подсистемы ведения нормативной справочной информации). Внесены уточ</w:t>
            </w:r>
            <w:r>
              <w:t xml:space="preserve">нения в пп. </w:t>
            </w:r>
            <w:r>
              <w:t xml:space="preserve">4.2</w:t>
            </w:r>
            <w:r/>
          </w:p>
        </w:tc>
      </w:tr>
      <w:tr>
        <w:tblPrEx/>
        <w:trPr>
          <w:trHeight w:val="20"/>
        </w:trPr>
        <w:tc>
          <w:tcPr>
            <w:tcW w:w="465" w:type="pct"/>
            <w:textDirection w:val="lrTb"/>
            <w:noWrap w:val="false"/>
          </w:tcPr>
          <w:p>
            <w:pPr>
              <w:pStyle w:val="1316"/>
            </w:pPr>
            <w:r>
              <w:t xml:space="preserve">10</w:t>
            </w:r>
            <w:r>
              <w:t xml:space="preserve">.00</w:t>
            </w:r>
            <w:r/>
          </w:p>
        </w:tc>
        <w:tc>
          <w:tcPr>
            <w:tcW w:w="647" w:type="pct"/>
            <w:textDirection w:val="lrTb"/>
            <w:noWrap w:val="false"/>
          </w:tcPr>
          <w:p>
            <w:pPr>
              <w:pStyle w:val="1316"/>
            </w:pPr>
            <w:r>
              <w:t xml:space="preserve">04.02</w:t>
            </w:r>
            <w:r>
              <w:t xml:space="preserve">.2025</w:t>
            </w:r>
            <w:r/>
          </w:p>
        </w:tc>
        <w:tc>
          <w:tcPr>
            <w:tcW w:w="950" w:type="pct"/>
            <w:textDirection w:val="lrTb"/>
            <w:noWrap w:val="false"/>
          </w:tcPr>
          <w:p>
            <w:pPr>
              <w:pStyle w:val="1316"/>
            </w:pPr>
            <w:r>
              <w:t xml:space="preserve">Даниленко А. Р.</w:t>
            </w:r>
            <w:r/>
          </w:p>
        </w:tc>
        <w:tc>
          <w:tcPr>
            <w:tcW w:w="2938" w:type="pct"/>
            <w:textDirection w:val="lrTb"/>
            <w:noWrap w:val="false"/>
          </w:tcPr>
          <w:p>
            <w:pPr>
              <w:pStyle w:val="1316"/>
            </w:pPr>
            <w:r>
              <w:t xml:space="preserve">Внесены изменения по результатам проведения опытной эксплуатации на основании Государственного контракта от 26.08.2024 № ФКУ0289/08/2024/РИС</w:t>
            </w:r>
            <w:r>
              <w:t xml:space="preserve"> </w:t>
            </w:r>
            <w:r>
              <w:t xml:space="preserve">(работы по развитию подсистемы ведения нормативной справочной информации).</w:t>
            </w:r>
            <w:r>
              <w:t xml:space="preserve"> Внесены изменения в пп. </w:t>
            </w:r>
            <w:r>
              <w:t xml:space="preserve">4.2</w:t>
            </w:r>
            <w:r/>
          </w:p>
        </w:tc>
      </w:tr>
      <w:tr>
        <w:tblPrEx/>
        <w:trPr>
          <w:trHeight w:val="20"/>
        </w:trPr>
        <w:tc>
          <w:tcPr>
            <w:tcW w:w="465" w:type="pct"/>
            <w:textDirection w:val="lrTb"/>
            <w:noWrap w:val="false"/>
          </w:tcPr>
          <w:p>
            <w:pPr>
              <w:pStyle w:val="1316"/>
            </w:pPr>
            <w:r>
              <w:t xml:space="preserve">10.01</w:t>
            </w:r>
            <w:r/>
          </w:p>
        </w:tc>
        <w:tc>
          <w:tcPr>
            <w:tcW w:w="647" w:type="pct"/>
            <w:textDirection w:val="lrTb"/>
            <w:noWrap w:val="false"/>
          </w:tcPr>
          <w:p>
            <w:pPr>
              <w:pStyle w:val="1316"/>
            </w:pPr>
            <w:r>
              <w:t xml:space="preserve">11.03.2025</w:t>
            </w:r>
            <w:r/>
          </w:p>
        </w:tc>
        <w:tc>
          <w:tcPr>
            <w:tcW w:w="950" w:type="pct"/>
            <w:textDirection w:val="lrTb"/>
            <w:noWrap w:val="false"/>
          </w:tcPr>
          <w:p>
            <w:pPr>
              <w:pStyle w:val="1316"/>
            </w:pPr>
            <w:r>
              <w:t xml:space="preserve">Панина И. С.</w:t>
            </w:r>
            <w:r/>
          </w:p>
        </w:tc>
        <w:tc>
          <w:tcPr>
            <w:tcW w:w="2938" w:type="pct"/>
            <w:textDirection w:val="lrTb"/>
            <w:noWrap w:val="false"/>
          </w:tcPr>
          <w:p>
            <w:pPr>
              <w:pStyle w:val="1316"/>
              <w:rPr>
                <w:lang w:val="en-US"/>
              </w:rPr>
            </w:pPr>
            <w:r>
              <w:t xml:space="preserve">Внесены изменения по замечаниям Заказчика на основании Государственного контракта от 26.08.2024 № ФКУ0289/08/2024/РИС</w:t>
            </w:r>
            <w:r>
              <w:t xml:space="preserve"> </w:t>
            </w:r>
            <w:r>
              <w:t xml:space="preserve">(работы по развитию подсистемы ведения нормативной справочной информации). Внесены изменения в п. </w:t>
            </w:r>
            <w:r>
              <w:fldChar w:fldCharType="begin"/>
            </w:r>
            <w:r>
              <w:instrText xml:space="preserve"> REF _Ref166569200 \r \h  \* MERGEFORMAT </w:instrText>
            </w:r>
            <w:r>
              <w:fldChar w:fldCharType="separate"/>
            </w:r>
            <w:r>
              <w:t xml:space="preserve">3.1</w:t>
            </w:r>
            <w:r>
              <w:fldChar w:fldCharType="end"/>
            </w:r>
            <w:r>
              <w:rPr>
                <w:lang w:val="en-US"/>
              </w:rPr>
            </w:r>
          </w:p>
        </w:tc>
      </w:tr>
      <w:tr>
        <w:tblPrEx/>
        <w:trPr>
          <w:trHeight w:val="20"/>
        </w:trPr>
        <w:tc>
          <w:tcPr>
            <w:tcW w:w="465" w:type="pct"/>
            <w:textDirection w:val="lrTb"/>
            <w:noWrap w:val="false"/>
          </w:tcPr>
          <w:p>
            <w:pPr>
              <w:pStyle w:val="1316"/>
            </w:pPr>
            <w:r>
              <w:t xml:space="preserve">11.00</w:t>
            </w:r>
            <w:r/>
          </w:p>
        </w:tc>
        <w:tc>
          <w:tcPr>
            <w:tcW w:w="647" w:type="pct"/>
            <w:textDirection w:val="lrTb"/>
            <w:noWrap w:val="false"/>
          </w:tcPr>
          <w:p>
            <w:pPr>
              <w:pStyle w:val="1316"/>
            </w:pPr>
            <w:r>
              <w:t xml:space="preserve">16.06.2025</w:t>
            </w:r>
            <w:r/>
          </w:p>
        </w:tc>
        <w:tc>
          <w:tcPr>
            <w:tcW w:w="950" w:type="pct"/>
            <w:textDirection w:val="lrTb"/>
            <w:noWrap w:val="false"/>
          </w:tcPr>
          <w:p>
            <w:pPr>
              <w:pStyle w:val="1316"/>
            </w:pPr>
            <w:r>
              <w:t xml:space="preserve">Мартынова Т. В.</w:t>
            </w:r>
            <w:r/>
          </w:p>
        </w:tc>
        <w:tc>
          <w:tcPr>
            <w:tcW w:w="2938" w:type="pct"/>
            <w:textDirection w:val="lrTb"/>
            <w:noWrap w:val="false"/>
          </w:tcPr>
          <w:p>
            <w:pPr>
              <w:pStyle w:val="1316"/>
            </w:pPr>
            <w:r>
              <w:t xml:space="preserve">Документ актуализирован на основании Государственного контракт</w:t>
            </w:r>
            <w:r>
              <w:t xml:space="preserve">а от 10.12.2024 № ФКУ0417/12/2024/РИС (2-й этап работ по развитию подсистемы ведения нормативной справочной информации государственной интегрированной информационной системы управления общественными финансами «Электронный бюджет» в части импортозамещения р</w:t>
            </w:r>
            <w:r>
              <w:t xml:space="preserve">ешения, реализующего функции управления основными данными подсистемы ведения нормативной справочной информации государственной интегрированной информационной системы управления общественными финансами «Электронный бюджет», и обеспечению пилотной миграции д</w:t>
            </w:r>
            <w:r>
              <w:t xml:space="preserve">анных в решение, реализующее функции управления основными данными подсистемы ведения нормативной справочной информации государственной интегрированной информационной системы управления общественными финансами «Электронный бюджет»). Внесены изменения в пп. </w:t>
            </w:r>
            <w:r>
              <w:fldChar w:fldCharType="begin"/>
            </w:r>
            <w:r>
              <w:instrText xml:space="preserve"> REF _Ref152103854 \r \h </w:instrText>
            </w:r>
            <w:r>
              <w:instrText xml:space="preserve"> \* MERGEFORMAT </w:instrText>
            </w:r>
            <w:r>
              <w:fldChar w:fldCharType="separate"/>
            </w:r>
            <w:r>
              <w:t xml:space="preserve">4.2</w:t>
            </w:r>
            <w:r>
              <w:fldChar w:fldCharType="end"/>
            </w:r>
            <w:r>
              <w:t xml:space="preserve">, 4.3.</w:t>
            </w:r>
            <w:r/>
          </w:p>
          <w:p>
            <w:pPr>
              <w:pStyle w:val="1316"/>
            </w:pPr>
            <w:r>
              <w:t xml:space="preserve">Внесены изменения в код документа в части добавления области применения документа с кодом 10.</w:t>
            </w:r>
            <w:r/>
          </w:p>
          <w:p>
            <w:pPr>
              <w:pStyle w:val="1316"/>
            </w:pPr>
            <w:r>
              <w:t xml:space="preserve">Код документа 54819512.20.19,04.ЭБ26.001-10.01 1(2,5,8) </w:t>
            </w:r>
            <w:r>
              <w:t xml:space="preserve">поменялся на код </w:t>
            </w:r>
            <w:r>
              <w:t xml:space="preserve">54819512.20.19,04.ЭБ26.001-11.00 1(2,5,8,10)</w:t>
            </w:r>
            <w:r/>
          </w:p>
        </w:tc>
      </w:tr>
      <w:tr>
        <w:tblPrEx/>
        <w:trPr>
          <w:trHeight w:val="20"/>
        </w:trPr>
        <w:tc>
          <w:tcPr>
            <w:tcW w:w="465" w:type="pct"/>
            <w:textDirection w:val="lrTb"/>
            <w:noWrap w:val="false"/>
          </w:tcPr>
          <w:p>
            <w:pPr>
              <w:pStyle w:val="1316"/>
            </w:pPr>
            <w:r>
              <w:t xml:space="preserve">12.00</w:t>
            </w:r>
            <w:r/>
          </w:p>
        </w:tc>
        <w:tc>
          <w:tcPr>
            <w:tcW w:w="647" w:type="pct"/>
            <w:textDirection w:val="lrTb"/>
            <w:noWrap w:val="false"/>
          </w:tcPr>
          <w:p>
            <w:pPr>
              <w:pStyle w:val="1316"/>
            </w:pPr>
            <w:r>
              <w:t xml:space="preserve">19.11.2025</w:t>
            </w:r>
            <w:r/>
          </w:p>
        </w:tc>
        <w:tc>
          <w:tcPr>
            <w:tcW w:w="950" w:type="pct"/>
            <w:textDirection w:val="lrTb"/>
            <w:noWrap w:val="false"/>
          </w:tcPr>
          <w:p>
            <w:pPr>
              <w:pStyle w:val="1316"/>
            </w:pPr>
            <w:r>
              <w:t xml:space="preserve">Даниленко А. Р.</w:t>
            </w:r>
            <w:r/>
          </w:p>
        </w:tc>
        <w:tc>
          <w:tcPr>
            <w:tcW w:w="2938" w:type="pct"/>
            <w:textDirection w:val="lrTb"/>
            <w:noWrap w:val="false"/>
          </w:tcPr>
          <w:p>
            <w:pPr>
              <w:pStyle w:val="1316"/>
            </w:pPr>
            <w:r>
              <w:t xml:space="preserve">Документ актуализирован на основании Государственного контракта от 09.06.2025 № ФКУ0173/2025/РИС (работы по развитию подсистемы ведения нормативной справочной информации). Внесены уточнения в п. </w:t>
            </w:r>
            <w:r>
              <w:t xml:space="preserve">4.2.1.3, 4.2.2.3, 4.2.3.3, 4.2.6, 4.3 – 4.6.</w:t>
            </w:r>
            <w:r/>
          </w:p>
        </w:tc>
      </w:tr>
      <w:tr>
        <w:tblPrEx/>
        <w:trPr>
          <w:trHeight w:val="1211"/>
        </w:trPr>
        <w:tc>
          <w:tcPr>
            <w:tcW w:w="465" w:type="pct"/>
            <w:textDirection w:val="lrTb"/>
            <w:noWrap w:val="false"/>
          </w:tcPr>
          <w:p>
            <w:pPr>
              <w:pStyle w:val="1316"/>
            </w:pPr>
            <w:r>
              <w:t xml:space="preserve">13.00</w:t>
            </w:r>
            <w:r/>
          </w:p>
        </w:tc>
        <w:tc>
          <w:tcPr>
            <w:tcW w:w="647" w:type="pct"/>
            <w:textDirection w:val="lrTb"/>
            <w:noWrap w:val="false"/>
          </w:tcPr>
          <w:p>
            <w:pPr>
              <w:pStyle w:val="1316"/>
            </w:pPr>
            <w:r>
              <w:t xml:space="preserve">12.12.2025</w:t>
            </w:r>
            <w:r/>
          </w:p>
        </w:tc>
        <w:tc>
          <w:tcPr>
            <w:tcW w:w="950" w:type="pct"/>
            <w:textDirection w:val="lrTb"/>
            <w:noWrap w:val="false"/>
          </w:tcPr>
          <w:p>
            <w:pPr>
              <w:pStyle w:val="1316"/>
            </w:pPr>
            <w:r>
              <w:t xml:space="preserve">Даниленко А. Р.</w:t>
            </w:r>
            <w:r/>
          </w:p>
        </w:tc>
        <w:tc>
          <w:tcPr>
            <w:tcW w:w="2938" w:type="pct"/>
            <w:textDirection w:val="lrTb"/>
            <w:noWrap w:val="false"/>
          </w:tcPr>
          <w:p>
            <w:pPr>
              <w:pStyle w:val="1316"/>
            </w:pPr>
            <w:r>
              <w:t xml:space="preserve">Документ актуализирован на основании </w:t>
            </w:r>
            <w:r>
              <w:t xml:space="preserve">Государственного контракта от 30.06.2025 № ФКУ0232/2025/РИС (работы по развитию подсистемы ведения нормативной справочной информации)</w:t>
            </w:r>
            <w:r>
              <w:t xml:space="preserve">. Внесены изменения в пп. </w:t>
            </w:r>
            <w:r>
              <w:fldChar w:fldCharType="begin"/>
            </w:r>
            <w:r>
              <w:instrText xml:space="preserve"> REF _Ref216708023 \r \h </w:instrText>
            </w:r>
            <w:r>
              <w:instrText xml:space="preserve"> \* MERGEFORMAT </w:instrText>
            </w:r>
            <w:r>
              <w:fldChar w:fldCharType="separate"/>
            </w:r>
            <w:r>
              <w:t xml:space="preserve">4.2.1.3</w:t>
            </w:r>
            <w:r>
              <w:fldChar w:fldCharType="end"/>
            </w:r>
            <w:r>
              <w:t xml:space="preserve">, </w:t>
            </w:r>
            <w:r>
              <w:fldChar w:fldCharType="begin"/>
            </w:r>
            <w:r>
              <w:instrText xml:space="preserve"> REF _Ref216708030 \r \h </w:instrText>
            </w:r>
            <w:r>
              <w:instrText xml:space="preserve"> \* MERGEFORMAT </w:instrText>
            </w:r>
            <w:r>
              <w:fldChar w:fldCharType="separate"/>
            </w:r>
            <w:r>
              <w:t xml:space="preserve">4.2.2.3</w:t>
            </w:r>
            <w:r>
              <w:fldChar w:fldCharType="end"/>
            </w:r>
            <w:r>
              <w:t xml:space="preserve">, </w:t>
            </w:r>
            <w:r>
              <w:fldChar w:fldCharType="begin"/>
            </w:r>
            <w:r>
              <w:instrText xml:space="preserve"> REF _Ref216708039 \r \h </w:instrText>
            </w:r>
            <w:r>
              <w:instrText xml:space="preserve"> \* MERGEFORMAT </w:instrText>
            </w:r>
            <w:r>
              <w:fldChar w:fldCharType="separate"/>
            </w:r>
            <w:r>
              <w:t xml:space="preserve">4.2.7.1</w:t>
            </w:r>
            <w:r>
              <w:fldChar w:fldCharType="end"/>
            </w:r>
            <w:r>
              <w:t xml:space="preserve">, </w:t>
            </w:r>
            <w:r>
              <w:fldChar w:fldCharType="begin"/>
            </w:r>
            <w:r>
              <w:instrText xml:space="preserve"> REF _Ref216708048 \r \h </w:instrText>
            </w:r>
            <w:r>
              <w:instrText xml:space="preserve"> \* MERGEFORMAT </w:instrText>
            </w:r>
            <w:r>
              <w:fldChar w:fldCharType="separate"/>
            </w:r>
            <w:r>
              <w:t xml:space="preserve">4.2.7.4</w:t>
            </w:r>
            <w:r>
              <w:fldChar w:fldCharType="end"/>
            </w:r>
            <w:r>
              <w:t xml:space="preserve">, </w:t>
            </w:r>
            <w:r>
              <w:fldChar w:fldCharType="begin"/>
            </w:r>
            <w:r>
              <w:instrText xml:space="preserve"> REF _Ref216708058 \r \h </w:instrText>
            </w:r>
            <w:r>
              <w:instrText xml:space="preserve"> \* MERGEFORMAT </w:instrText>
            </w:r>
            <w:r>
              <w:fldChar w:fldCharType="separate"/>
            </w:r>
            <w:r>
              <w:t xml:space="preserve">4.2.7.5</w:t>
            </w:r>
            <w:r>
              <w:fldChar w:fldCharType="end"/>
            </w:r>
            <w:r/>
          </w:p>
        </w:tc>
      </w:tr>
      <w:tr>
        <w:tblPrEx/>
        <w:trPr>
          <w:trHeight w:val="1211"/>
        </w:trPr>
        <w:tc>
          <w:tcPr>
            <w:tcW w:w="465" w:type="pct"/>
            <w:textDirection w:val="lrTb"/>
            <w:noWrap w:val="false"/>
          </w:tcPr>
          <w:p>
            <w:pPr>
              <w:pStyle w:val="1316"/>
            </w:pPr>
            <w:r>
              <w:t xml:space="preserve">14.00</w:t>
            </w:r>
            <w:r/>
          </w:p>
        </w:tc>
        <w:tc>
          <w:tcPr>
            <w:tcW w:w="647" w:type="pct"/>
            <w:textDirection w:val="lrTb"/>
            <w:noWrap w:val="false"/>
          </w:tcPr>
          <w:p>
            <w:pPr>
              <w:pStyle w:val="1316"/>
            </w:pPr>
            <w:r>
              <w:t xml:space="preserve">15.12.2025</w:t>
            </w:r>
            <w:r/>
          </w:p>
        </w:tc>
        <w:tc>
          <w:tcPr>
            <w:tcW w:w="950" w:type="pct"/>
            <w:textDirection w:val="lrTb"/>
            <w:noWrap w:val="false"/>
          </w:tcPr>
          <w:p>
            <w:pPr>
              <w:pStyle w:val="1316"/>
            </w:pPr>
            <w:r>
              <w:t xml:space="preserve">Даниленко А. Р.</w:t>
            </w:r>
            <w:r/>
          </w:p>
        </w:tc>
        <w:tc>
          <w:tcPr>
            <w:tcW w:w="2938" w:type="pct"/>
            <w:textDirection w:val="lrTb"/>
            <w:noWrap w:val="false"/>
          </w:tcPr>
          <w:p>
            <w:pPr>
              <w:pStyle w:val="1316"/>
            </w:pPr>
            <w:r>
              <w:t xml:space="preserve">Документ актуализирован на основании Государственного контракта от 04.07.2025 № ФКУ0247/2025/РИС (1-й период работ по развитию подсистемы ведения нормативной справочной информации (</w:t>
            </w:r>
            <w:r>
              <w:rPr>
                <w:rFonts w:eastAsia="Calibri"/>
                <w:szCs w:val="24"/>
                <w:lang w:eastAsia="en-US"/>
              </w:rPr>
              <w:t xml:space="preserve">5 этап</w:t>
            </w:r>
            <w:r>
              <w:rPr>
                <w:szCs w:val="24"/>
              </w:rPr>
              <w:t xml:space="preserve">))</w:t>
            </w:r>
            <w:r>
              <w:t xml:space="preserve">. Внесены изменения в п. </w:t>
            </w:r>
            <w:r>
              <w:fldChar w:fldCharType="begin"/>
            </w:r>
            <w:r>
              <w:instrText xml:space="preserve"> REF _Ref216854076 \r \h </w:instrText>
            </w:r>
            <w:r>
              <w:instrText xml:space="preserve"> \* MERGEFORMAT </w:instrText>
            </w:r>
            <w:r>
              <w:fldChar w:fldCharType="separate"/>
            </w:r>
            <w:r>
              <w:t xml:space="preserve">4.2.7.2</w:t>
            </w:r>
            <w:r>
              <w:fldChar w:fldCharType="end"/>
            </w:r>
            <w:r>
              <w:t xml:space="preserve">. Добавлен п. </w:t>
            </w:r>
            <w:r>
              <w:fldChar w:fldCharType="begin"/>
            </w:r>
            <w:r>
              <w:instrText xml:space="preserve"> REF _Ref216854090 \r \h </w:instrText>
            </w:r>
            <w:r>
              <w:instrText xml:space="preserve"> \* MERGEFORMAT </w:instrText>
            </w:r>
            <w:r>
              <w:fldChar w:fldCharType="separate"/>
            </w:r>
            <w:r>
              <w:t xml:space="preserve">4.2.7.6</w:t>
            </w:r>
            <w:r>
              <w:fldChar w:fldCharType="end"/>
            </w:r>
            <w:r/>
          </w:p>
        </w:tc>
      </w:tr>
      <w:tr>
        <w:tblPrEx/>
        <w:trPr>
          <w:trHeight w:val="981"/>
        </w:trPr>
        <w:tc>
          <w:tcPr>
            <w:tcW w:w="465" w:type="pct"/>
            <w:textDirection w:val="lrTb"/>
            <w:noWrap w:val="false"/>
          </w:tcPr>
          <w:p>
            <w:pPr>
              <w:pStyle w:val="1316"/>
            </w:pPr>
            <w:r>
              <w:t xml:space="preserve">14.01</w:t>
            </w:r>
            <w:r/>
          </w:p>
        </w:tc>
        <w:tc>
          <w:tcPr>
            <w:tcW w:w="647" w:type="pct"/>
            <w:textDirection w:val="lrTb"/>
            <w:noWrap w:val="false"/>
          </w:tcPr>
          <w:p>
            <w:pPr>
              <w:pStyle w:val="1316"/>
            </w:pPr>
            <w:r>
              <w:t xml:space="preserve">15.12.2025</w:t>
            </w:r>
            <w:r/>
          </w:p>
        </w:tc>
        <w:tc>
          <w:tcPr>
            <w:tcW w:w="950" w:type="pct"/>
            <w:textDirection w:val="lrTb"/>
            <w:noWrap w:val="false"/>
          </w:tcPr>
          <w:p>
            <w:pPr>
              <w:pStyle w:val="1316"/>
            </w:pPr>
            <w:r>
              <w:t xml:space="preserve">Даниленко А. Р.</w:t>
            </w:r>
            <w:r/>
          </w:p>
        </w:tc>
        <w:tc>
          <w:tcPr>
            <w:tcW w:w="2938" w:type="pct"/>
            <w:textDirection w:val="lrTb"/>
            <w:noWrap w:val="false"/>
          </w:tcPr>
          <w:p>
            <w:pPr>
              <w:pStyle w:val="1316"/>
            </w:pPr>
            <w:r>
              <w:t xml:space="preserve">Документ актуализирован на основании выпуска версии 225.0. Внесены изменения в пп. 4.2.4, 4.2.6, 4.2.7, 4.3.</w:t>
            </w:r>
            <w:r/>
          </w:p>
          <w:p>
            <w:pPr>
              <w:pStyle w:val="1316"/>
            </w:pPr>
            <w:r>
              <w:t xml:space="preserve">Внесены редакционные правки по всем пунктам, описание приведено к единообразию.</w:t>
            </w:r>
            <w:r/>
          </w:p>
        </w:tc>
      </w:tr>
      <w:tr>
        <w:tblPrEx/>
        <w:trPr>
          <w:trHeight w:val="504"/>
        </w:trPr>
        <w:tc>
          <w:tcPr>
            <w:tcW w:w="465" w:type="pct"/>
            <w:vMerge w:val="restart"/>
            <w:textDirection w:val="lrTb"/>
            <w:noWrap w:val="false"/>
          </w:tcPr>
          <w:p>
            <w:pPr>
              <w:pStyle w:val="1316"/>
            </w:pPr>
            <w:r>
              <w:t xml:space="preserve">14.02</w:t>
            </w:r>
            <w:r/>
          </w:p>
        </w:tc>
        <w:tc>
          <w:tcPr>
            <w:tcW w:w="647" w:type="pct"/>
            <w:textDirection w:val="lrTb"/>
            <w:noWrap w:val="false"/>
          </w:tcPr>
          <w:p>
            <w:pPr>
              <w:pStyle w:val="1316"/>
            </w:pPr>
            <w:r>
              <w:t xml:space="preserve">19.01.2026</w:t>
            </w:r>
            <w:r/>
          </w:p>
        </w:tc>
        <w:tc>
          <w:tcPr>
            <w:tcW w:w="950" w:type="pct"/>
            <w:textDirection w:val="lrTb"/>
            <w:noWrap w:val="false"/>
          </w:tcPr>
          <w:p>
            <w:pPr>
              <w:pStyle w:val="1316"/>
            </w:pPr>
            <w:r>
              <w:t xml:space="preserve">Даниленко А. Р.</w:t>
            </w:r>
            <w:r/>
          </w:p>
        </w:tc>
        <w:tc>
          <w:tcPr>
            <w:tcW w:w="2938" w:type="pct"/>
            <w:textDirection w:val="lrTb"/>
            <w:noWrap w:val="false"/>
          </w:tcPr>
          <w:p>
            <w:pPr>
              <w:pStyle w:val="1316"/>
            </w:pPr>
            <w:r>
              <w:t xml:space="preserve">Документ актуализирован на основании выпуска версии 226.0. Внесены изменения в пп. 4.2.7.1, 4.2.7.2.</w:t>
            </w:r>
            <w:r/>
          </w:p>
        </w:tc>
      </w:tr>
      <w:tr>
        <w:tblPrEx/>
        <w:trPr>
          <w:trHeight w:val="496"/>
        </w:trPr>
        <w:tc>
          <w:tcPr>
            <w:tcW w:w="465" w:type="pct"/>
            <w:vMerge w:val="continue"/>
            <w:textDirection w:val="lrTb"/>
            <w:noWrap w:val="false"/>
          </w:tcPr>
          <w:p>
            <w:pPr>
              <w:pStyle w:val="1316"/>
            </w:pPr>
            <w:r/>
            <w:r/>
          </w:p>
        </w:tc>
        <w:tc>
          <w:tcPr>
            <w:tcW w:w="647" w:type="pct"/>
            <w:textDirection w:val="lrTb"/>
            <w:noWrap w:val="false"/>
          </w:tcPr>
          <w:p>
            <w:pPr>
              <w:pStyle w:val="1316"/>
            </w:pPr>
            <w:r>
              <w:t xml:space="preserve">05.02.2026</w:t>
            </w:r>
            <w:r/>
          </w:p>
        </w:tc>
        <w:tc>
          <w:tcPr>
            <w:tcW w:w="950" w:type="pct"/>
            <w:textDirection w:val="lrTb"/>
            <w:noWrap w:val="false"/>
          </w:tcPr>
          <w:p>
            <w:pPr>
              <w:pStyle w:val="1316"/>
            </w:pPr>
            <w:r>
              <w:t xml:space="preserve">Мартынова Т. В.</w:t>
            </w:r>
            <w:r/>
          </w:p>
        </w:tc>
        <w:tc>
          <w:tcPr>
            <w:tcW w:w="2938" w:type="pct"/>
            <w:textDirection w:val="lrTb"/>
            <w:noWrap w:val="false"/>
          </w:tcPr>
          <w:p>
            <w:pPr>
              <w:pStyle w:val="1316"/>
            </w:pPr>
            <w:r>
              <w:t xml:space="preserve">Документ актуализирован на основании выпуска версии 226.0. Внесены изменения в п. </w:t>
            </w:r>
            <w:r>
              <w:fldChar w:fldCharType="begin"/>
            </w:r>
            <w:r>
              <w:instrText xml:space="preserve"> REF _Ref221869811 \r \h  \* MERGEFORMAT </w:instrText>
            </w:r>
            <w:r>
              <w:fldChar w:fldCharType="separate"/>
            </w:r>
            <w:r>
              <w:t xml:space="preserve">4.3</w:t>
            </w:r>
            <w:r>
              <w:fldChar w:fldCharType="end"/>
            </w:r>
            <w:bookmarkEnd w:id="773"/>
            <w:r/>
          </w:p>
        </w:tc>
      </w:tr>
    </w:tbl>
    <w:p>
      <w:pPr>
        <w:ind w:left="567" w:firstLine="0"/>
      </w:pPr>
      <w:r/>
      <w:r/>
    </w:p>
    <w:sectPr>
      <w:headerReference w:type="default" r:id="rId12"/>
      <w:footerReference w:type="default" r:id="rId15"/>
      <w:footnotePr/>
      <w:endnotePr/>
      <w:type w:val="nextPage"/>
      <w:pgSz w:w="11906" w:h="16838" w:orient="portrait"/>
      <w:pgMar w:top="1134" w:right="567" w:bottom="851" w:left="1701" w:header="567" w:footer="284"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font>
  <w:font w:name="Symbol">
    <w:panose1 w:val="05050102010706020507"/>
  </w:font>
  <w:font w:name="Arial CYR">
    <w:panose1 w:val="020B0604020202020204"/>
  </w:font>
  <w:font w:name="Wingdings">
    <w:panose1 w:val="05000000000000000000"/>
  </w:font>
  <w:font w:name="Arial Narrow">
    <w:panose1 w:val="020B0606020202030204"/>
  </w:font>
  <w:font w:name="Tahoma">
    <w:panose1 w:val="020B0604030504040204"/>
  </w:font>
  <w:font w:name="Arial Unicode MS">
    <w:panose1 w:val="020B0604020202020204"/>
  </w:font>
  <w:font w:name="Verdana">
    <w:panose1 w:val="020B0604030504040204"/>
  </w:font>
  <w:font w:name="Calibri">
    <w:panose1 w:val="020F0502020204030204"/>
  </w:font>
  <w:font w:name="Times New Roman">
    <w:panose1 w:val="02020603050405020304"/>
  </w:font>
  <w:font w:name="Times New Roman Полужирный">
    <w:panose1 w:val="02020603050405020304"/>
  </w:font>
  <w:font w:name="ISOCPEUR">
    <w:panose1 w:val="02000603000000000000"/>
  </w:font>
  <w:font w:name="Franklin Gothic Book">
    <w:panose1 w:val="020B0503020102020204"/>
  </w:font>
  <w:font w:name="SimSun">
    <w:panose1 w:val="02010600030101010101"/>
  </w:font>
  <w:font w:name="MS Mincho">
    <w:panose1 w:val="02020609040205080304"/>
  </w:font>
  <w:font w:name="Times New Roman CYR">
    <w:panose1 w:val="02020603050405020304"/>
  </w:font>
  <w:font w:name="Courier New">
    <w:panose1 w:val="020703090202050204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321"/>
    </w:pPr>
    <w:r>
      <w:t xml:space="preserve">202</w:t>
    </w:r>
    <w:r>
      <w:t xml:space="preserve">6</w:t>
    </w:r>
    <w:r>
      <w:t xml:space="preserve"> г.</w:t>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 w:id="2">
    <w:p>
      <w:pPr>
        <w:pStyle w:val="1353"/>
      </w:pPr>
      <w:r>
        <w:rPr>
          <w:rStyle w:val="1352"/>
        </w:rPr>
        <w:footnoteRef/>
      </w:r>
      <w:r>
        <w:t xml:space="preserve"> Д</w:t>
      </w:r>
      <w:r>
        <w:t xml:space="preserve">ля СКЗИ «КриптоПро CSP» следует установить плагин «КриптоПро ЭЦП Browser plug-in»</w:t>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307"/>
      <w:tabs>
        <w:tab w:val="left" w:pos="1140" w:leader="none"/>
        <w:tab w:val="center" w:pos="5245" w:leader="none"/>
      </w:tabs>
      <w:rPr>
        <w:rFonts w:ascii="Times New Roman" w:hAnsi="Times New Roman"/>
      </w:rPr>
    </w:pPr>
    <w:r>
      <w:rPr>
        <w:rFonts w:ascii="Times New Roman" w:hAnsi="Times New Roman"/>
      </w:rPr>
      <w:t xml:space="preserve">ФЕДЕРАЛЬНОЕ КАЗНАЧЕЙСТВО (КАЗНАЧЕЙСТВО РОССИИ)</w:t>
    </w:r>
    <w:r>
      <w:rPr>
        <w:rFonts w:ascii="Times New Roman" w:hAnsi="Times New Roman"/>
      </w:rPr>
    </w:r>
  </w:p>
  <w:p>
    <w:pPr>
      <w:pStyle w:val="1300"/>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9696" w:type="dxa"/>
      <w:tblInd w:w="57" w:type="dxa"/>
      <w:tblBorders>
        <w:top w:val="single" w:color="auto" w:sz="12" w:space="0"/>
        <w:left w:val="single" w:color="auto" w:sz="12" w:space="0"/>
        <w:bottom w:val="single" w:color="auto" w:sz="12" w:space="0"/>
        <w:right w:val="single" w:color="auto" w:sz="12" w:space="0"/>
      </w:tblBorders>
      <w:tblCellMar>
        <w:left w:w="57" w:type="dxa"/>
        <w:right w:w="57" w:type="dxa"/>
      </w:tblCellMar>
      <w:tblLook w:val="0000" w:firstRow="0" w:lastRow="0" w:firstColumn="0" w:lastColumn="0" w:noHBand="0" w:noVBand="0"/>
    </w:tblPr>
    <w:tblGrid>
      <w:gridCol w:w="2312"/>
      <w:gridCol w:w="6343"/>
      <w:gridCol w:w="1041"/>
    </w:tblGrid>
    <w:tr>
      <w:tblPrEx/>
      <w:trPr>
        <w:cantSplit/>
        <w:trHeight w:val="20"/>
      </w:trPr>
      <w:tc>
        <w:tcPr>
          <w:tcBorders>
            <w:top w:val="single" w:color="auto" w:sz="12" w:space="0"/>
            <w:left w:val="single" w:color="auto" w:sz="12" w:space="0"/>
            <w:bottom w:val="single" w:color="auto" w:sz="12" w:space="0"/>
          </w:tcBorders>
          <w:tcW w:w="1192" w:type="pct"/>
          <w:vAlign w:val="center"/>
          <w:textDirection w:val="lrTb"/>
          <w:noWrap w:val="false"/>
        </w:tcPr>
        <w:p>
          <w:pPr>
            <w:pStyle w:val="1295"/>
          </w:pPr>
          <w:r>
            <w:t xml:space="preserve">Наименование ИС:</w:t>
          </w:r>
          <w:r/>
        </w:p>
      </w:tc>
      <w:tc>
        <w:tcPr>
          <w:gridSpan w:val="2"/>
          <w:tcBorders>
            <w:top w:val="single" w:color="auto" w:sz="12" w:space="0"/>
            <w:left w:val="single" w:color="auto" w:sz="12" w:space="0"/>
            <w:bottom w:val="single" w:color="auto" w:sz="12" w:space="0"/>
          </w:tcBorders>
          <w:tcW w:w="3808" w:type="pct"/>
          <w:vAlign w:val="center"/>
          <w:textDirection w:val="lrTb"/>
          <w:noWrap w:val="false"/>
        </w:tcPr>
        <w:p>
          <w:pPr>
            <w:pStyle w:val="1295"/>
          </w:pPr>
          <w:r>
            <w:t xml:space="preserve">Государственная интегрированная информационная система управления общественными финансами «Электронный бюджет»</w:t>
          </w:r>
          <w:r/>
        </w:p>
      </w:tc>
    </w:tr>
    <w:tr>
      <w:tblPrEx/>
      <w:trPr>
        <w:cantSplit/>
        <w:trHeight w:val="20"/>
      </w:trPr>
      <w:tc>
        <w:tcPr>
          <w:tcBorders>
            <w:top w:val="single" w:color="auto" w:sz="12" w:space="0"/>
            <w:left w:val="single" w:color="auto" w:sz="12" w:space="0"/>
            <w:bottom w:val="single" w:color="auto" w:sz="12" w:space="0"/>
            <w:right w:val="single" w:color="auto" w:sz="12" w:space="0"/>
          </w:tcBorders>
          <w:tcW w:w="1192" w:type="pct"/>
          <w:vAlign w:val="center"/>
          <w:textDirection w:val="lrTb"/>
          <w:noWrap w:val="false"/>
        </w:tcPr>
        <w:p>
          <w:pPr>
            <w:pStyle w:val="1295"/>
          </w:pPr>
          <w:r>
            <w:t xml:space="preserve">Название документа:</w:t>
          </w:r>
          <w:r/>
        </w:p>
      </w:tc>
      <w:tc>
        <w:tcPr>
          <w:gridSpan w:val="2"/>
          <w:tcBorders>
            <w:top w:val="single" w:color="auto" w:sz="12" w:space="0"/>
            <w:left w:val="single" w:color="auto" w:sz="12" w:space="0"/>
            <w:bottom w:val="single" w:color="auto" w:sz="12" w:space="0"/>
          </w:tcBorders>
          <w:tcW w:w="3808" w:type="pct"/>
          <w:vAlign w:val="center"/>
          <w:textDirection w:val="lrTb"/>
          <w:noWrap w:val="false"/>
        </w:tcPr>
        <w:p>
          <w:pPr>
            <w:pStyle w:val="1295"/>
          </w:pPr>
          <w:r>
            <w:t xml:space="preserve">Руководство работников (представителей) участников системы «Электронный бюджет» по работе с подсистемой (компонентом, модулем). Том 1. Руководство для сотрудников Клиента</w:t>
          </w:r>
          <w:r/>
        </w:p>
      </w:tc>
    </w:tr>
    <w:tr>
      <w:tblPrEx/>
      <w:trPr>
        <w:cantSplit/>
        <w:trHeight w:val="20"/>
      </w:trPr>
      <w:tc>
        <w:tcPr>
          <w:tcBorders>
            <w:top w:val="single" w:color="auto" w:sz="12" w:space="0"/>
            <w:left w:val="single" w:color="auto" w:sz="12" w:space="0"/>
            <w:bottom w:val="single" w:color="auto" w:sz="12" w:space="0"/>
            <w:right w:val="single" w:color="auto" w:sz="12" w:space="0"/>
          </w:tcBorders>
          <w:tcW w:w="1192" w:type="pct"/>
          <w:vAlign w:val="center"/>
          <w:textDirection w:val="lrTb"/>
          <w:noWrap w:val="false"/>
        </w:tcPr>
        <w:p>
          <w:pPr>
            <w:pStyle w:val="1295"/>
          </w:pPr>
          <w:r>
            <w:t xml:space="preserve">Код документа:</w:t>
          </w:r>
          <w:r/>
        </w:p>
      </w:tc>
      <w:tc>
        <w:tcPr>
          <w:tcBorders>
            <w:top w:val="single" w:color="auto" w:sz="12" w:space="0"/>
            <w:left w:val="single" w:color="auto" w:sz="12" w:space="0"/>
            <w:bottom w:val="single" w:color="auto" w:sz="12" w:space="0"/>
          </w:tcBorders>
          <w:tcW w:w="3271" w:type="pct"/>
          <w:vAlign w:val="center"/>
          <w:textDirection w:val="lrTb"/>
          <w:noWrap w:val="false"/>
        </w:tcPr>
        <w:p>
          <w:pPr>
            <w:pStyle w:val="1295"/>
          </w:pPr>
          <w:r>
            <w:t xml:space="preserve">54819512.20.19,04.ЭБ26.001-</w:t>
          </w:r>
          <w:r>
            <w:t xml:space="preserve">1</w:t>
          </w:r>
          <w:r>
            <w:t xml:space="preserve">4</w:t>
          </w:r>
          <w:r>
            <w:t xml:space="preserve">.0</w:t>
          </w:r>
          <w:r>
            <w:t xml:space="preserve">0</w:t>
          </w:r>
          <w:r>
            <w:t xml:space="preserve"> 1(2,5,8</w:t>
          </w:r>
          <w:r>
            <w:t xml:space="preserve">,10</w:t>
          </w:r>
          <w:r>
            <w:t xml:space="preserve">)</w:t>
          </w:r>
          <w:r/>
        </w:p>
      </w:tc>
      <w:tc>
        <w:tcPr>
          <w:tcBorders>
            <w:top w:val="single" w:color="auto" w:sz="12" w:space="0"/>
            <w:left w:val="single" w:color="auto" w:sz="12" w:space="0"/>
            <w:bottom w:val="single" w:color="auto" w:sz="12" w:space="0"/>
          </w:tcBorders>
          <w:tcW w:w="537" w:type="pct"/>
          <w:textDirection w:val="lrTb"/>
          <w:noWrap w:val="false"/>
        </w:tcPr>
        <w:p>
          <w:pPr>
            <w:pStyle w:val="1295"/>
          </w:pPr>
          <w:r>
            <w:t xml:space="preserve">Стр. </w:t>
          </w:r>
          <w:r>
            <w:fldChar w:fldCharType="begin"/>
          </w:r>
          <w:r>
            <w:instrText xml:space="preserve">PAGE   \* MERGEFORMAT</w:instrText>
          </w:r>
          <w:r>
            <w:fldChar w:fldCharType="separate"/>
          </w:r>
          <w:r>
            <w:t xml:space="preserve">20</w:t>
          </w:r>
          <w:r>
            <w:fldChar w:fldCharType="end"/>
          </w:r>
          <w:r/>
        </w:p>
      </w:tc>
    </w:tr>
  </w:tbl>
  <w:p>
    <w:pPr>
      <w:pStyle w:val="1300"/>
    </w:p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5763" w:type="dxa"/>
      <w:tblInd w:w="57" w:type="dxa"/>
      <w:tblBorders>
        <w:top w:val="single" w:color="auto" w:sz="12" w:space="0"/>
        <w:left w:val="single" w:color="auto" w:sz="12" w:space="0"/>
        <w:bottom w:val="single" w:color="auto" w:sz="12" w:space="0"/>
        <w:right w:val="single" w:color="auto" w:sz="12" w:space="0"/>
      </w:tblBorders>
      <w:tblCellMar>
        <w:left w:w="57" w:type="dxa"/>
        <w:right w:w="57" w:type="dxa"/>
      </w:tblCellMar>
      <w:tblLook w:val="0000" w:firstRow="0" w:lastRow="0" w:firstColumn="0" w:lastColumn="0" w:noHBand="0" w:noVBand="0"/>
    </w:tblPr>
    <w:tblGrid>
      <w:gridCol w:w="3758"/>
      <w:gridCol w:w="10312"/>
      <w:gridCol w:w="1693"/>
    </w:tblGrid>
    <w:tr>
      <w:tblPrEx/>
      <w:trPr>
        <w:cantSplit/>
        <w:trHeight w:val="20"/>
      </w:trPr>
      <w:tc>
        <w:tcPr>
          <w:tcBorders>
            <w:top w:val="single" w:color="auto" w:sz="12" w:space="0"/>
            <w:left w:val="single" w:color="auto" w:sz="12" w:space="0"/>
            <w:bottom w:val="single" w:color="auto" w:sz="12" w:space="0"/>
          </w:tcBorders>
          <w:tcW w:w="1192" w:type="pct"/>
          <w:vAlign w:val="center"/>
          <w:textDirection w:val="lrTb"/>
          <w:noWrap w:val="false"/>
        </w:tcPr>
        <w:p>
          <w:pPr>
            <w:pStyle w:val="1295"/>
          </w:pPr>
          <w:r>
            <w:t xml:space="preserve">Наименование ИС:</w:t>
          </w:r>
          <w:r/>
        </w:p>
      </w:tc>
      <w:tc>
        <w:tcPr>
          <w:gridSpan w:val="2"/>
          <w:tcBorders>
            <w:top w:val="single" w:color="auto" w:sz="12" w:space="0"/>
            <w:left w:val="single" w:color="auto" w:sz="12" w:space="0"/>
            <w:bottom w:val="single" w:color="auto" w:sz="12" w:space="0"/>
          </w:tcBorders>
          <w:tcW w:w="3808" w:type="pct"/>
          <w:vAlign w:val="center"/>
          <w:textDirection w:val="lrTb"/>
          <w:noWrap w:val="false"/>
        </w:tcPr>
        <w:p>
          <w:pPr>
            <w:pStyle w:val="1295"/>
          </w:pPr>
          <w:r>
            <w:t xml:space="preserve">Государственная интегрированная информационная система управления общественными финансами «Электронный бюджет»</w:t>
          </w:r>
          <w:r/>
        </w:p>
      </w:tc>
    </w:tr>
    <w:tr>
      <w:tblPrEx/>
      <w:trPr>
        <w:cantSplit/>
        <w:trHeight w:val="20"/>
      </w:trPr>
      <w:tc>
        <w:tcPr>
          <w:tcBorders>
            <w:top w:val="single" w:color="auto" w:sz="12" w:space="0"/>
            <w:left w:val="single" w:color="auto" w:sz="12" w:space="0"/>
            <w:bottom w:val="single" w:color="auto" w:sz="12" w:space="0"/>
            <w:right w:val="single" w:color="auto" w:sz="12" w:space="0"/>
          </w:tcBorders>
          <w:tcW w:w="1192" w:type="pct"/>
          <w:vAlign w:val="center"/>
          <w:textDirection w:val="lrTb"/>
          <w:noWrap w:val="false"/>
        </w:tcPr>
        <w:p>
          <w:pPr>
            <w:pStyle w:val="1295"/>
          </w:pPr>
          <w:r>
            <w:t xml:space="preserve">Название документа:</w:t>
          </w:r>
          <w:r/>
        </w:p>
      </w:tc>
      <w:tc>
        <w:tcPr>
          <w:gridSpan w:val="2"/>
          <w:tcBorders>
            <w:top w:val="single" w:color="auto" w:sz="12" w:space="0"/>
            <w:left w:val="single" w:color="auto" w:sz="12" w:space="0"/>
            <w:bottom w:val="single" w:color="auto" w:sz="12" w:space="0"/>
          </w:tcBorders>
          <w:tcW w:w="3808" w:type="pct"/>
          <w:vAlign w:val="center"/>
          <w:textDirection w:val="lrTb"/>
          <w:noWrap w:val="false"/>
        </w:tcPr>
        <w:p>
          <w:pPr>
            <w:pStyle w:val="1295"/>
          </w:pPr>
          <w:r>
            <w:t xml:space="preserve">Руководство работников (представителей) участников системы «Электронный бюджет» по работе с подсистемой (компонентом, модулем). Том 1. Руководство для сотрудников Клиента</w:t>
          </w:r>
          <w:r/>
        </w:p>
      </w:tc>
    </w:tr>
    <w:tr>
      <w:tblPrEx/>
      <w:trPr>
        <w:cantSplit/>
        <w:trHeight w:val="20"/>
      </w:trPr>
      <w:tc>
        <w:tcPr>
          <w:tcBorders>
            <w:top w:val="single" w:color="auto" w:sz="12" w:space="0"/>
            <w:left w:val="single" w:color="auto" w:sz="12" w:space="0"/>
            <w:bottom w:val="single" w:color="auto" w:sz="12" w:space="0"/>
            <w:right w:val="single" w:color="auto" w:sz="12" w:space="0"/>
          </w:tcBorders>
          <w:tcW w:w="1192" w:type="pct"/>
          <w:vAlign w:val="center"/>
          <w:textDirection w:val="lrTb"/>
          <w:noWrap w:val="false"/>
        </w:tcPr>
        <w:p>
          <w:pPr>
            <w:pStyle w:val="1295"/>
          </w:pPr>
          <w:r>
            <w:t xml:space="preserve">Код документа:</w:t>
          </w:r>
          <w:r/>
        </w:p>
      </w:tc>
      <w:tc>
        <w:tcPr>
          <w:tcBorders>
            <w:top w:val="single" w:color="auto" w:sz="12" w:space="0"/>
            <w:left w:val="single" w:color="auto" w:sz="12" w:space="0"/>
            <w:bottom w:val="single" w:color="auto" w:sz="12" w:space="0"/>
          </w:tcBorders>
          <w:tcW w:w="3271" w:type="pct"/>
          <w:vAlign w:val="center"/>
          <w:textDirection w:val="lrTb"/>
          <w:noWrap w:val="false"/>
        </w:tcPr>
        <w:p>
          <w:pPr>
            <w:pStyle w:val="1295"/>
          </w:pPr>
          <w:r>
            <w:t xml:space="preserve">54819512.20.19,04.ЭБ26.001-</w:t>
          </w:r>
          <w:r>
            <w:t xml:space="preserve">1</w:t>
          </w:r>
          <w:r>
            <w:t xml:space="preserve">4</w:t>
          </w:r>
          <w:r>
            <w:t xml:space="preserve">.0</w:t>
          </w:r>
          <w:r>
            <w:t xml:space="preserve">0</w:t>
          </w:r>
          <w:r>
            <w:t xml:space="preserve"> 1(2,5,8</w:t>
          </w:r>
          <w:r>
            <w:t xml:space="preserve">,10</w:t>
          </w:r>
          <w:r>
            <w:t xml:space="preserve">)</w:t>
          </w:r>
          <w:r/>
        </w:p>
      </w:tc>
      <w:tc>
        <w:tcPr>
          <w:tcBorders>
            <w:top w:val="single" w:color="auto" w:sz="12" w:space="0"/>
            <w:left w:val="single" w:color="auto" w:sz="12" w:space="0"/>
            <w:bottom w:val="single" w:color="auto" w:sz="12" w:space="0"/>
          </w:tcBorders>
          <w:tcW w:w="537" w:type="pct"/>
          <w:textDirection w:val="lrTb"/>
          <w:noWrap w:val="false"/>
        </w:tcPr>
        <w:p>
          <w:pPr>
            <w:pStyle w:val="1295"/>
          </w:pPr>
          <w:r>
            <w:t xml:space="preserve">Стр. </w:t>
          </w:r>
          <w:r>
            <w:fldChar w:fldCharType="begin"/>
          </w:r>
          <w:r>
            <w:instrText xml:space="preserve">PAGE   \* MERGEFORMAT</w:instrText>
          </w:r>
          <w:r>
            <w:fldChar w:fldCharType="separate"/>
          </w:r>
          <w:r>
            <w:t xml:space="preserve">128</w:t>
          </w:r>
          <w:r>
            <w:fldChar w:fldCharType="end"/>
          </w:r>
          <w:r/>
        </w:p>
      </w:tc>
    </w:tr>
  </w:tbl>
  <w:p>
    <w:pPr>
      <w:pStyle w:val="1300"/>
    </w:pPr>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9696" w:type="dxa"/>
      <w:tblInd w:w="57" w:type="dxa"/>
      <w:tblBorders>
        <w:top w:val="single" w:color="auto" w:sz="12" w:space="0"/>
        <w:left w:val="single" w:color="auto" w:sz="12" w:space="0"/>
        <w:bottom w:val="single" w:color="auto" w:sz="12" w:space="0"/>
        <w:right w:val="single" w:color="auto" w:sz="12" w:space="0"/>
      </w:tblBorders>
      <w:tblCellMar>
        <w:left w:w="57" w:type="dxa"/>
        <w:right w:w="57" w:type="dxa"/>
      </w:tblCellMar>
      <w:tblLook w:val="0000" w:firstRow="0" w:lastRow="0" w:firstColumn="0" w:lastColumn="0" w:noHBand="0" w:noVBand="0"/>
    </w:tblPr>
    <w:tblGrid>
      <w:gridCol w:w="2312"/>
      <w:gridCol w:w="6343"/>
      <w:gridCol w:w="1041"/>
    </w:tblGrid>
    <w:tr>
      <w:tblPrEx/>
      <w:trPr>
        <w:cantSplit/>
        <w:trHeight w:val="20"/>
      </w:trPr>
      <w:tc>
        <w:tcPr>
          <w:tcBorders>
            <w:top w:val="single" w:color="auto" w:sz="12" w:space="0"/>
            <w:left w:val="single" w:color="auto" w:sz="12" w:space="0"/>
            <w:bottom w:val="single" w:color="auto" w:sz="12" w:space="0"/>
          </w:tcBorders>
          <w:tcW w:w="1192" w:type="pct"/>
          <w:vAlign w:val="center"/>
          <w:textDirection w:val="lrTb"/>
          <w:noWrap w:val="false"/>
        </w:tcPr>
        <w:p>
          <w:pPr>
            <w:pStyle w:val="1295"/>
          </w:pPr>
          <w:r>
            <w:t xml:space="preserve">Наименование ИС:</w:t>
          </w:r>
          <w:r/>
        </w:p>
      </w:tc>
      <w:tc>
        <w:tcPr>
          <w:gridSpan w:val="2"/>
          <w:tcBorders>
            <w:top w:val="single" w:color="auto" w:sz="12" w:space="0"/>
            <w:left w:val="single" w:color="auto" w:sz="12" w:space="0"/>
            <w:bottom w:val="single" w:color="auto" w:sz="12" w:space="0"/>
          </w:tcBorders>
          <w:tcW w:w="3808" w:type="pct"/>
          <w:vAlign w:val="center"/>
          <w:textDirection w:val="lrTb"/>
          <w:noWrap w:val="false"/>
        </w:tcPr>
        <w:p>
          <w:pPr>
            <w:pStyle w:val="1295"/>
          </w:pPr>
          <w:r>
            <w:t xml:space="preserve">Государственная интегрированная информационная система управления общественными финансами «Электронный бюджет»</w:t>
          </w:r>
          <w:r/>
        </w:p>
      </w:tc>
    </w:tr>
    <w:tr>
      <w:tblPrEx/>
      <w:trPr>
        <w:cantSplit/>
        <w:trHeight w:val="20"/>
      </w:trPr>
      <w:tc>
        <w:tcPr>
          <w:tcBorders>
            <w:top w:val="single" w:color="auto" w:sz="12" w:space="0"/>
            <w:left w:val="single" w:color="auto" w:sz="12" w:space="0"/>
            <w:bottom w:val="single" w:color="auto" w:sz="12" w:space="0"/>
            <w:right w:val="single" w:color="auto" w:sz="12" w:space="0"/>
          </w:tcBorders>
          <w:tcW w:w="1192" w:type="pct"/>
          <w:vAlign w:val="center"/>
          <w:textDirection w:val="lrTb"/>
          <w:noWrap w:val="false"/>
        </w:tcPr>
        <w:p>
          <w:pPr>
            <w:pStyle w:val="1295"/>
          </w:pPr>
          <w:r>
            <w:t xml:space="preserve">Название документа:</w:t>
          </w:r>
          <w:r/>
        </w:p>
      </w:tc>
      <w:tc>
        <w:tcPr>
          <w:gridSpan w:val="2"/>
          <w:tcBorders>
            <w:top w:val="single" w:color="auto" w:sz="12" w:space="0"/>
            <w:left w:val="single" w:color="auto" w:sz="12" w:space="0"/>
            <w:bottom w:val="single" w:color="auto" w:sz="12" w:space="0"/>
          </w:tcBorders>
          <w:tcW w:w="3808" w:type="pct"/>
          <w:vAlign w:val="center"/>
          <w:textDirection w:val="lrTb"/>
          <w:noWrap w:val="false"/>
        </w:tcPr>
        <w:p>
          <w:pPr>
            <w:pStyle w:val="1295"/>
          </w:pPr>
          <w:r>
            <w:t xml:space="preserve">Руководство работников (представителей) участников системы «Электронный бюджет» по работе с подсистемой (компонентом, модулем). Том 1. Руководство для сотрудников Клиента</w:t>
          </w:r>
          <w:r/>
        </w:p>
      </w:tc>
    </w:tr>
    <w:tr>
      <w:tblPrEx/>
      <w:trPr>
        <w:cantSplit/>
        <w:trHeight w:val="20"/>
      </w:trPr>
      <w:tc>
        <w:tcPr>
          <w:tcBorders>
            <w:top w:val="single" w:color="auto" w:sz="12" w:space="0"/>
            <w:left w:val="single" w:color="auto" w:sz="12" w:space="0"/>
            <w:bottom w:val="single" w:color="auto" w:sz="12" w:space="0"/>
            <w:right w:val="single" w:color="auto" w:sz="12" w:space="0"/>
          </w:tcBorders>
          <w:tcW w:w="1192" w:type="pct"/>
          <w:vAlign w:val="center"/>
          <w:textDirection w:val="lrTb"/>
          <w:noWrap w:val="false"/>
        </w:tcPr>
        <w:p>
          <w:pPr>
            <w:pStyle w:val="1295"/>
          </w:pPr>
          <w:r>
            <w:t xml:space="preserve">Код документа:</w:t>
          </w:r>
          <w:r/>
        </w:p>
      </w:tc>
      <w:tc>
        <w:tcPr>
          <w:tcBorders>
            <w:top w:val="single" w:color="auto" w:sz="12" w:space="0"/>
            <w:left w:val="single" w:color="auto" w:sz="12" w:space="0"/>
            <w:bottom w:val="single" w:color="auto" w:sz="12" w:space="0"/>
          </w:tcBorders>
          <w:tcW w:w="3271" w:type="pct"/>
          <w:vAlign w:val="center"/>
          <w:textDirection w:val="lrTb"/>
          <w:noWrap w:val="false"/>
        </w:tcPr>
        <w:p>
          <w:pPr>
            <w:pStyle w:val="1295"/>
          </w:pPr>
          <w:r>
            <w:t xml:space="preserve">54819512.20.19,04.ЭБ26.001-</w:t>
          </w:r>
          <w:r>
            <w:t xml:space="preserve">1</w:t>
          </w:r>
          <w:r>
            <w:t xml:space="preserve">4</w:t>
          </w:r>
          <w:r>
            <w:t xml:space="preserve">.0</w:t>
          </w:r>
          <w:r>
            <w:t xml:space="preserve">0</w:t>
          </w:r>
          <w:r>
            <w:t xml:space="preserve"> 1(2,5,8</w:t>
          </w:r>
          <w:r>
            <w:t xml:space="preserve">,10</w:t>
          </w:r>
          <w:r>
            <w:t xml:space="preserve">)</w:t>
          </w:r>
          <w:r/>
        </w:p>
      </w:tc>
      <w:tc>
        <w:tcPr>
          <w:tcBorders>
            <w:top w:val="single" w:color="auto" w:sz="12" w:space="0"/>
            <w:left w:val="single" w:color="auto" w:sz="12" w:space="0"/>
            <w:bottom w:val="single" w:color="auto" w:sz="12" w:space="0"/>
          </w:tcBorders>
          <w:tcW w:w="537" w:type="pct"/>
          <w:textDirection w:val="lrTb"/>
          <w:noWrap w:val="false"/>
        </w:tcPr>
        <w:p>
          <w:pPr>
            <w:pStyle w:val="1295"/>
          </w:pPr>
          <w:r>
            <w:t xml:space="preserve">Стр. </w:t>
          </w:r>
          <w:r>
            <w:fldChar w:fldCharType="begin"/>
          </w:r>
          <w:r>
            <w:instrText xml:space="preserve">PAGE   \* MERGEFORMAT</w:instrText>
          </w:r>
          <w:r>
            <w:fldChar w:fldCharType="separate"/>
          </w:r>
          <w:r>
            <w:t xml:space="preserve">20</w:t>
          </w:r>
          <w:r>
            <w:fldChar w:fldCharType="end"/>
          </w:r>
          <w:r/>
        </w:p>
      </w:tc>
    </w:tr>
  </w:tbl>
  <w:p>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pStyle w:val="1454"/>
      <w:isLgl w:val="false"/>
      <w:suff w:val="tab"/>
      <w:lvlText w:val="%1."/>
      <w:lvlJc w:val="left"/>
      <w:pPr>
        <w:ind w:left="1492" w:hanging="360"/>
        <w:tabs>
          <w:tab w:val="num" w:pos="1492"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
    <w:multiLevelType w:val="hybridMultilevel"/>
    <w:lvl w:ilvl="0">
      <w:start w:val="1"/>
      <w:numFmt w:val="decimal"/>
      <w:pStyle w:val="1453"/>
      <w:isLgl w:val="false"/>
      <w:suff w:val="tab"/>
      <w:lvlText w:val="%1."/>
      <w:lvlJc w:val="left"/>
      <w:pPr>
        <w:ind w:left="1209" w:hanging="360"/>
        <w:tabs>
          <w:tab w:val="num" w:pos="1209"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
    <w:multiLevelType w:val="hybridMultilevel"/>
    <w:lvl w:ilvl="0">
      <w:start w:val="1"/>
      <w:numFmt w:val="decimal"/>
      <w:pStyle w:val="1452"/>
      <w:isLgl w:val="false"/>
      <w:suff w:val="tab"/>
      <w:lvlText w:val="%1."/>
      <w:lvlJc w:val="left"/>
      <w:pPr>
        <w:ind w:left="926" w:hanging="360"/>
        <w:tabs>
          <w:tab w:val="num" w:pos="926"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
    <w:multiLevelType w:val="hybridMultilevel"/>
    <w:lvl w:ilvl="0">
      <w:start w:val="1"/>
      <w:numFmt w:val="decimal"/>
      <w:pStyle w:val="1451"/>
      <w:isLgl w:val="false"/>
      <w:suff w:val="tab"/>
      <w:lvlText w:val="%1."/>
      <w:lvlJc w:val="left"/>
      <w:pPr>
        <w:ind w:left="643" w:hanging="360"/>
        <w:tabs>
          <w:tab w:val="num" w:pos="643"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4">
    <w:multiLevelType w:val="hybridMultilevel"/>
    <w:lvl w:ilvl="0">
      <w:start w:val="1"/>
      <w:numFmt w:val="bullet"/>
      <w:pStyle w:val="1447"/>
      <w:isLgl w:val="false"/>
      <w:suff w:val="tab"/>
      <w:lvlText w:val=""/>
      <w:lvlJc w:val="left"/>
      <w:pPr>
        <w:ind w:left="1492" w:hanging="360"/>
        <w:tabs>
          <w:tab w:val="num" w:pos="1492"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5">
    <w:multiLevelType w:val="hybridMultilevel"/>
    <w:lvl w:ilvl="0">
      <w:start w:val="1"/>
      <w:numFmt w:val="bullet"/>
      <w:pStyle w:val="1446"/>
      <w:isLgl w:val="false"/>
      <w:suff w:val="tab"/>
      <w:lvlText w:val=""/>
      <w:lvlJc w:val="left"/>
      <w:pPr>
        <w:ind w:left="1209" w:hanging="360"/>
        <w:tabs>
          <w:tab w:val="num" w:pos="1209"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6">
    <w:multiLevelType w:val="hybridMultilevel"/>
    <w:lvl w:ilvl="0">
      <w:start w:val="1"/>
      <w:numFmt w:val="bullet"/>
      <w:pStyle w:val="1445"/>
      <w:isLgl w:val="false"/>
      <w:suff w:val="tab"/>
      <w:lvlText w:val=""/>
      <w:lvlJc w:val="left"/>
      <w:pPr>
        <w:ind w:left="926" w:hanging="360"/>
        <w:tabs>
          <w:tab w:val="num" w:pos="926" w:leader="none"/>
        </w:tabs>
      </w:pPr>
      <w:rPr>
        <w:rFonts w:hint="default" w:ascii="Symbol" w:hAnsi="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7">
    <w:multiLevelType w:val="hybridMultilevel"/>
    <w:lvl w:ilvl="0">
      <w:start w:val="1"/>
      <w:numFmt w:val="bullet"/>
      <w:pStyle w:val="1444"/>
      <w:isLgl w:val="false"/>
      <w:suff w:val="tab"/>
      <w:lvlText w:val=""/>
      <w:lvlJc w:val="left"/>
      <w:pPr>
        <w:ind w:left="643" w:hanging="360"/>
        <w:tabs>
          <w:tab w:val="num" w:pos="643"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8">
    <w:multiLevelType w:val="hybridMultilevel"/>
    <w:lvl w:ilvl="0">
      <w:start w:val="1"/>
      <w:numFmt w:val="decimal"/>
      <w:pStyle w:val="1421"/>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9">
    <w:multiLevelType w:val="hybridMultilevel"/>
    <w:lvl w:ilvl="0">
      <w:start w:val="1"/>
      <w:numFmt w:val="bullet"/>
      <w:pStyle w:val="1420"/>
      <w:isLgl w:val="false"/>
      <w:suff w:val="tab"/>
      <w:lvlText w:val=""/>
      <w:lvlJc w:val="left"/>
      <w:pPr>
        <w:ind w:left="360" w:hanging="360"/>
        <w:tabs>
          <w:tab w:val="num" w:pos="360"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0">
    <w:multiLevelType w:val="hybridMultilevel"/>
    <w:lvl w:ilvl="0">
      <w:start w:val="1"/>
      <w:numFmt w:val="decimal"/>
      <w:pStyle w:val="1986"/>
      <w:isLgl w:val="false"/>
      <w:suff w:val="tab"/>
      <w:lvlText w:val="%1)"/>
      <w:lvlJc w:val="left"/>
      <w:pPr>
        <w:ind w:left="1429" w:hanging="360"/>
      </w:pPr>
    </w:lvl>
    <w:lvl w:ilvl="1">
      <w:start w:val="1"/>
      <w:numFmt w:val="lowerLetter"/>
      <w:isLgl w:val="false"/>
      <w:suff w:val="tab"/>
      <w:lvlText w:val="%2."/>
      <w:lvlJc w:val="left"/>
      <w:pPr>
        <w:ind w:left="2149" w:hanging="360"/>
      </w:pPr>
    </w:lvl>
    <w:lvl w:ilvl="2">
      <w:start w:val="1"/>
      <w:numFmt w:val="lowerRoman"/>
      <w:isLgl w:val="false"/>
      <w:suff w:val="tab"/>
      <w:lvlText w:val="%3."/>
      <w:lvlJc w:val="right"/>
      <w:pPr>
        <w:ind w:left="2869" w:hanging="180"/>
      </w:pPr>
    </w:lvl>
    <w:lvl w:ilvl="3">
      <w:start w:val="1"/>
      <w:numFmt w:val="decimal"/>
      <w:isLgl w:val="false"/>
      <w:suff w:val="tab"/>
      <w:lvlText w:val="%4."/>
      <w:lvlJc w:val="left"/>
      <w:pPr>
        <w:ind w:left="3589" w:hanging="360"/>
      </w:pPr>
    </w:lvl>
    <w:lvl w:ilvl="4">
      <w:start w:val="1"/>
      <w:numFmt w:val="lowerLetter"/>
      <w:isLgl w:val="false"/>
      <w:suff w:val="tab"/>
      <w:lvlText w:val="%5."/>
      <w:lvlJc w:val="left"/>
      <w:pPr>
        <w:ind w:left="4309" w:hanging="360"/>
      </w:pPr>
    </w:lvl>
    <w:lvl w:ilvl="5">
      <w:start w:val="1"/>
      <w:numFmt w:val="lowerRoman"/>
      <w:isLgl w:val="false"/>
      <w:suff w:val="tab"/>
      <w:lvlText w:val="%6."/>
      <w:lvlJc w:val="right"/>
      <w:pPr>
        <w:ind w:left="5029" w:hanging="180"/>
      </w:pPr>
    </w:lvl>
    <w:lvl w:ilvl="6">
      <w:start w:val="1"/>
      <w:numFmt w:val="decimal"/>
      <w:isLgl w:val="false"/>
      <w:suff w:val="tab"/>
      <w:lvlText w:val="%7."/>
      <w:lvlJc w:val="left"/>
      <w:pPr>
        <w:ind w:left="5749" w:hanging="360"/>
      </w:pPr>
    </w:lvl>
    <w:lvl w:ilvl="7">
      <w:start w:val="1"/>
      <w:numFmt w:val="lowerLetter"/>
      <w:isLgl w:val="false"/>
      <w:suff w:val="tab"/>
      <w:lvlText w:val="%8."/>
      <w:lvlJc w:val="left"/>
      <w:pPr>
        <w:ind w:left="6469" w:hanging="360"/>
      </w:pPr>
    </w:lvl>
    <w:lvl w:ilvl="8">
      <w:start w:val="1"/>
      <w:numFmt w:val="lowerRoman"/>
      <w:isLgl w:val="false"/>
      <w:suff w:val="tab"/>
      <w:lvlText w:val="%9."/>
      <w:lvlJc w:val="right"/>
      <w:pPr>
        <w:ind w:left="7189" w:hanging="180"/>
      </w:pPr>
    </w:lvl>
  </w:abstractNum>
  <w:abstractNum w:abstractNumId="11">
    <w:multiLevelType w:val="hybridMultilevel"/>
    <w:lvl w:ilvl="0">
      <w:start w:val="1"/>
      <w:numFmt w:val="bullet"/>
      <w:pStyle w:val="1522"/>
      <w:isLgl w:val="false"/>
      <w:suff w:val="tab"/>
      <w:lvlText w:val="–"/>
      <w:lvlJc w:val="left"/>
      <w:pPr>
        <w:ind w:left="2061" w:hanging="360"/>
      </w:pPr>
      <w:rPr>
        <w:rFonts w:hint="default" w:ascii="Verdana" w:hAnsi="Verdana" w:cs="Times New Roman"/>
        <w:b w:val="0"/>
        <w:bCs w:val="0"/>
        <w:i w:val="0"/>
        <w:iCs w:val="0"/>
        <w:caps w:val="0"/>
        <w:smallCaps w:val="0"/>
        <w:strike w:val="0"/>
        <w:vanish w:val="0"/>
        <w:color w:val="000000"/>
        <w:spacing w:val="0"/>
        <w:position w:val="0"/>
        <w:sz w:val="22"/>
        <w:szCs w:val="22"/>
        <w:u w:val="none"/>
        <w:vertAlign w:val="baseline"/>
      </w:rPr>
    </w:lvl>
    <w:lvl w:ilvl="1">
      <w:start w:val="1"/>
      <w:numFmt w:val="bullet"/>
      <w:isLgl w:val="false"/>
      <w:suff w:val="tab"/>
      <w:lvlText w:val="o"/>
      <w:lvlJc w:val="left"/>
      <w:pPr>
        <w:ind w:left="2858" w:hanging="360"/>
      </w:pPr>
      <w:rPr>
        <w:rFonts w:hint="default" w:ascii="Courier New" w:hAnsi="Courier New" w:cs="Courier New"/>
      </w:rPr>
    </w:lvl>
    <w:lvl w:ilvl="2">
      <w:start w:val="1"/>
      <w:numFmt w:val="bullet"/>
      <w:isLgl w:val="false"/>
      <w:suff w:val="tab"/>
      <w:lvlText w:val=""/>
      <w:lvlJc w:val="left"/>
      <w:pPr>
        <w:ind w:left="3578" w:hanging="360"/>
      </w:pPr>
      <w:rPr>
        <w:rFonts w:hint="default" w:ascii="Wingdings" w:hAnsi="Wingdings"/>
      </w:rPr>
    </w:lvl>
    <w:lvl w:ilvl="3">
      <w:start w:val="1"/>
      <w:numFmt w:val="bullet"/>
      <w:isLgl w:val="false"/>
      <w:suff w:val="tab"/>
      <w:lvlText w:val=""/>
      <w:lvlJc w:val="left"/>
      <w:pPr>
        <w:ind w:left="4298" w:hanging="360"/>
      </w:pPr>
      <w:rPr>
        <w:rFonts w:hint="default" w:ascii="Symbol" w:hAnsi="Symbol"/>
      </w:rPr>
    </w:lvl>
    <w:lvl w:ilvl="4">
      <w:start w:val="1"/>
      <w:numFmt w:val="bullet"/>
      <w:isLgl w:val="false"/>
      <w:suff w:val="tab"/>
      <w:lvlText w:val="o"/>
      <w:lvlJc w:val="left"/>
      <w:pPr>
        <w:ind w:left="5018" w:hanging="360"/>
      </w:pPr>
      <w:rPr>
        <w:rFonts w:hint="default" w:ascii="Courier New" w:hAnsi="Courier New" w:cs="Courier New"/>
      </w:rPr>
    </w:lvl>
    <w:lvl w:ilvl="5">
      <w:start w:val="1"/>
      <w:numFmt w:val="bullet"/>
      <w:isLgl w:val="false"/>
      <w:suff w:val="tab"/>
      <w:lvlText w:val=""/>
      <w:lvlJc w:val="left"/>
      <w:pPr>
        <w:ind w:left="5738" w:hanging="360"/>
      </w:pPr>
      <w:rPr>
        <w:rFonts w:hint="default" w:ascii="Wingdings" w:hAnsi="Wingdings"/>
      </w:rPr>
    </w:lvl>
    <w:lvl w:ilvl="6">
      <w:start w:val="1"/>
      <w:numFmt w:val="bullet"/>
      <w:isLgl w:val="false"/>
      <w:suff w:val="tab"/>
      <w:lvlText w:val=""/>
      <w:lvlJc w:val="left"/>
      <w:pPr>
        <w:ind w:left="6458" w:hanging="360"/>
      </w:pPr>
      <w:rPr>
        <w:rFonts w:hint="default" w:ascii="Symbol" w:hAnsi="Symbol"/>
      </w:rPr>
    </w:lvl>
    <w:lvl w:ilvl="7">
      <w:start w:val="1"/>
      <w:numFmt w:val="bullet"/>
      <w:isLgl w:val="false"/>
      <w:suff w:val="tab"/>
      <w:lvlText w:val="o"/>
      <w:lvlJc w:val="left"/>
      <w:pPr>
        <w:ind w:left="7178" w:hanging="360"/>
      </w:pPr>
      <w:rPr>
        <w:rFonts w:hint="default" w:ascii="Courier New" w:hAnsi="Courier New" w:cs="Courier New"/>
      </w:rPr>
    </w:lvl>
    <w:lvl w:ilvl="8">
      <w:start w:val="1"/>
      <w:numFmt w:val="bullet"/>
      <w:isLgl w:val="false"/>
      <w:suff w:val="tab"/>
      <w:lvlText w:val=""/>
      <w:lvlJc w:val="left"/>
      <w:pPr>
        <w:ind w:left="7898" w:hanging="360"/>
      </w:pPr>
      <w:rPr>
        <w:rFonts w:hint="default" w:ascii="Wingdings" w:hAnsi="Wingdings"/>
      </w:rPr>
    </w:lvl>
  </w:abstractNum>
  <w:abstractNum w:abstractNumId="12">
    <w:multiLevelType w:val="hybridMultilevel"/>
    <w:lvl w:ilvl="0">
      <w:start w:val="1"/>
      <w:numFmt w:val="decimal"/>
      <w:pStyle w:val="2296"/>
      <w:isLgl w:val="false"/>
      <w:suff w:val="tab"/>
      <w:lvlText w:val="%1."/>
      <w:lvlJc w:val="left"/>
      <w:pPr>
        <w:ind w:left="720" w:hanging="360"/>
      </w:pPr>
      <w:rPr>
        <w:rFonts w:hint="default"/>
      </w:rPr>
    </w:lvl>
    <w:lvl w:ilvl="1">
      <w:start w:val="1"/>
      <w:numFmt w:val="decimal"/>
      <w:pStyle w:val="2296"/>
      <w:isLgl w:val="false"/>
      <w:suff w:val="tab"/>
      <w:lvlText w:val="%1. %2."/>
      <w:lvlJc w:val="left"/>
      <w:pPr>
        <w:ind w:left="873" w:hanging="516"/>
      </w:pPr>
      <w:rPr>
        <w:rFonts w:hint="default"/>
      </w:rPr>
    </w:lvl>
    <w:lvl w:ilvl="2">
      <w:start w:val="1"/>
      <w:numFmt w:val="decimal"/>
      <w:pStyle w:val="2298"/>
      <w:isLgl w:val="false"/>
      <w:suff w:val="tab"/>
      <w:lvlText w:val="%1. %2. %3."/>
      <w:lvlJc w:val="left"/>
      <w:pPr>
        <w:ind w:left="1179" w:hanging="822"/>
      </w:pPr>
      <w:rPr>
        <w:rFonts w:hint="default"/>
      </w:rPr>
    </w:lvl>
    <w:lvl w:ilvl="3">
      <w:start w:val="1"/>
      <w:numFmt w:val="decimal"/>
      <w:pStyle w:val="2299"/>
      <w:isLgl w:val="false"/>
      <w:suff w:val="tab"/>
      <w:lvlText w:val="%1. %2. %3. %4."/>
      <w:lvlJc w:val="left"/>
      <w:pPr>
        <w:ind w:left="1332" w:hanging="975"/>
      </w:pPr>
      <w:rPr>
        <w:rFonts w:hint="default"/>
      </w:rPr>
    </w:lvl>
    <w:lvl w:ilvl="4">
      <w:start w:val="1"/>
      <w:numFmt w:val="decimal"/>
      <w:pStyle w:val="2300"/>
      <w:isLgl w:val="false"/>
      <w:suff w:val="tab"/>
      <w:lvlText w:val="%1. %2. %3. %4. %5."/>
      <w:lvlJc w:val="left"/>
      <w:pPr>
        <w:ind w:left="1486" w:hanging="1129"/>
      </w:pPr>
      <w:rPr>
        <w:rFonts w:hint="default"/>
      </w:rPr>
    </w:lvl>
    <w:lvl w:ilvl="5">
      <w:start w:val="1"/>
      <w:numFmt w:val="lowerRoman"/>
      <w:isLgl w:val="false"/>
      <w:suff w:val="tab"/>
      <w:lvlText w:val="%6."/>
      <w:lvlJc w:val="right"/>
      <w:pPr>
        <w:ind w:left="4320" w:hanging="180"/>
      </w:pPr>
      <w:rPr>
        <w:rFonts w:hint="default"/>
      </w:rPr>
    </w:lvl>
    <w:lvl w:ilvl="6">
      <w:start w:val="1"/>
      <w:numFmt w:val="decimal"/>
      <w:isLgl w:val="false"/>
      <w:suff w:val="tab"/>
      <w:lvlText w:val="%7."/>
      <w:lvlJc w:val="left"/>
      <w:pPr>
        <w:ind w:left="5040" w:hanging="360"/>
      </w:pPr>
      <w:rPr>
        <w:rFonts w:hint="default"/>
      </w:rPr>
    </w:lvl>
    <w:lvl w:ilvl="7">
      <w:start w:val="1"/>
      <w:numFmt w:val="lowerLetter"/>
      <w:isLgl w:val="false"/>
      <w:suff w:val="tab"/>
      <w:lvlText w:val="%8."/>
      <w:lvlJc w:val="left"/>
      <w:pPr>
        <w:ind w:left="5760" w:hanging="360"/>
      </w:pPr>
      <w:rPr>
        <w:rFonts w:hint="default"/>
      </w:rPr>
    </w:lvl>
    <w:lvl w:ilvl="8">
      <w:start w:val="1"/>
      <w:numFmt w:val="lowerRoman"/>
      <w:isLgl w:val="false"/>
      <w:suff w:val="tab"/>
      <w:lvlText w:val="%9."/>
      <w:lvlJc w:val="right"/>
      <w:pPr>
        <w:ind w:left="6480" w:hanging="180"/>
      </w:pPr>
      <w:rPr>
        <w:rFonts w:hint="default"/>
      </w:rPr>
    </w:lvl>
  </w:abstractNum>
  <w:abstractNum w:abstractNumId="13">
    <w:multiLevelType w:val="hybridMultilevel"/>
    <w:lvl w:ilvl="0">
      <w:start w:val="1"/>
      <w:numFmt w:val="decimal"/>
      <w:pStyle w:val="1906"/>
      <w:isLgl w:val="false"/>
      <w:suff w:val="tab"/>
      <w:lvlText w:val="Приложение %1."/>
      <w:lvlJc w:val="left"/>
      <w:pPr>
        <w:ind w:left="720" w:hanging="360"/>
      </w:pPr>
      <w:rPr>
        <w:rFonts w:hint="default" w:cs="Times New Roman"/>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4">
    <w:multiLevelType w:val="hybridMultilevel"/>
    <w:lvl w:ilvl="0">
      <w:start w:val="1"/>
      <w:numFmt w:val="bullet"/>
      <w:pStyle w:val="1529"/>
      <w:isLgl w:val="false"/>
      <w:suff w:val="tab"/>
      <w:lvlText w:val="–"/>
      <w:lvlJc w:val="left"/>
      <w:pPr>
        <w:ind w:left="1211" w:hanging="360"/>
      </w:pPr>
      <w:rPr>
        <w:rFonts w:hint="default" w:ascii="Verdana" w:hAnsi="Verdana"/>
        <w:b/>
        <w:i w:val="0"/>
        <w:color w:val="auto"/>
        <w:sz w:val="22"/>
      </w:rPr>
    </w:lvl>
    <w:lvl w:ilvl="1">
      <w:start w:val="1"/>
      <w:numFmt w:val="bullet"/>
      <w:isLgl w:val="false"/>
      <w:suff w:val="tab"/>
      <w:lvlText w:val="o"/>
      <w:lvlJc w:val="left"/>
      <w:pPr>
        <w:ind w:left="1440" w:hanging="360"/>
        <w:tabs>
          <w:tab w:val="num" w:pos="1440" w:leader="none"/>
        </w:tabs>
      </w:pPr>
      <w:rPr>
        <w:rFonts w:hint="default" w:ascii="Courier New" w:hAnsi="Courier New" w:cs="Courier New"/>
      </w:rPr>
    </w:lvl>
    <w:lvl w:ilvl="2">
      <w:start w:val="1"/>
      <w:numFmt w:val="bullet"/>
      <w:isLgl w:val="false"/>
      <w:suff w:val="tab"/>
      <w:lvlText w:val=""/>
      <w:lvlJc w:val="left"/>
      <w:pPr>
        <w:ind w:left="2160" w:hanging="360"/>
        <w:tabs>
          <w:tab w:val="num" w:pos="2160" w:leader="none"/>
        </w:tabs>
      </w:pPr>
      <w:rPr>
        <w:rFonts w:hint="default" w:ascii="Wingdings" w:hAnsi="Wingdings"/>
      </w:rPr>
    </w:lvl>
    <w:lvl w:ilvl="3">
      <w:start w:val="1"/>
      <w:numFmt w:val="bullet"/>
      <w:isLgl w:val="false"/>
      <w:suff w:val="tab"/>
      <w:lvlText w:val=""/>
      <w:lvlJc w:val="left"/>
      <w:pPr>
        <w:ind w:left="2880" w:hanging="360"/>
        <w:tabs>
          <w:tab w:val="num" w:pos="2880" w:leader="none"/>
        </w:tabs>
      </w:pPr>
      <w:rPr>
        <w:rFonts w:hint="default" w:ascii="Symbol" w:hAnsi="Symbol"/>
      </w:rPr>
    </w:lvl>
    <w:lvl w:ilvl="4">
      <w:start w:val="1"/>
      <w:numFmt w:val="bullet"/>
      <w:isLgl w:val="false"/>
      <w:suff w:val="tab"/>
      <w:lvlText w:val="o"/>
      <w:lvlJc w:val="left"/>
      <w:pPr>
        <w:ind w:left="3600" w:hanging="360"/>
        <w:tabs>
          <w:tab w:val="num" w:pos="3600" w:leader="none"/>
        </w:tabs>
      </w:pPr>
      <w:rPr>
        <w:rFonts w:hint="default" w:ascii="Courier New" w:hAnsi="Courier New" w:cs="Courier New"/>
      </w:rPr>
    </w:lvl>
    <w:lvl w:ilvl="5">
      <w:start w:val="1"/>
      <w:numFmt w:val="bullet"/>
      <w:isLgl w:val="false"/>
      <w:suff w:val="tab"/>
      <w:lvlText w:val=""/>
      <w:lvlJc w:val="left"/>
      <w:pPr>
        <w:ind w:left="4320" w:hanging="360"/>
        <w:tabs>
          <w:tab w:val="num" w:pos="4320" w:leader="none"/>
        </w:tabs>
      </w:pPr>
      <w:rPr>
        <w:rFonts w:hint="default" w:ascii="Wingdings" w:hAnsi="Wingdings"/>
      </w:rPr>
    </w:lvl>
    <w:lvl w:ilvl="6">
      <w:start w:val="1"/>
      <w:numFmt w:val="bullet"/>
      <w:isLgl w:val="false"/>
      <w:suff w:val="tab"/>
      <w:lvlText w:val=""/>
      <w:lvlJc w:val="left"/>
      <w:pPr>
        <w:ind w:left="5040" w:hanging="360"/>
        <w:tabs>
          <w:tab w:val="num" w:pos="5040" w:leader="none"/>
        </w:tabs>
      </w:pPr>
      <w:rPr>
        <w:rFonts w:hint="default" w:ascii="Symbol" w:hAnsi="Symbol"/>
      </w:rPr>
    </w:lvl>
    <w:lvl w:ilvl="7">
      <w:start w:val="1"/>
      <w:numFmt w:val="bullet"/>
      <w:isLgl w:val="false"/>
      <w:suff w:val="tab"/>
      <w:lvlText w:val="o"/>
      <w:lvlJc w:val="left"/>
      <w:pPr>
        <w:ind w:left="5760" w:hanging="360"/>
        <w:tabs>
          <w:tab w:val="num" w:pos="5760" w:leader="none"/>
        </w:tabs>
      </w:pPr>
      <w:rPr>
        <w:rFonts w:hint="default" w:ascii="Courier New" w:hAnsi="Courier New" w:cs="Courier New"/>
      </w:rPr>
    </w:lvl>
    <w:lvl w:ilvl="8">
      <w:start w:val="1"/>
      <w:numFmt w:val="bullet"/>
      <w:isLgl w:val="false"/>
      <w:suff w:val="tab"/>
      <w:lvlText w:val=""/>
      <w:lvlJc w:val="left"/>
      <w:pPr>
        <w:ind w:left="6480" w:hanging="360"/>
        <w:tabs>
          <w:tab w:val="num" w:pos="6480" w:leader="none"/>
        </w:tabs>
      </w:pPr>
      <w:rPr>
        <w:rFonts w:hint="default" w:ascii="Wingdings" w:hAnsi="Wingdings"/>
      </w:rPr>
    </w:lvl>
  </w:abstractNum>
  <w:abstractNum w:abstractNumId="15">
    <w:multiLevelType w:val="hybridMultilevel"/>
    <w:lvl w:ilvl="0">
      <w:start w:val="1"/>
      <w:numFmt w:val="bullet"/>
      <w:pStyle w:val="1852"/>
      <w:isLgl w:val="false"/>
      <w:suff w:val="tab"/>
      <w:lvlText w:val=""/>
      <w:lvlJc w:val="left"/>
      <w:pPr>
        <w:ind w:left="927" w:hanging="360"/>
        <w:tabs>
          <w:tab w:val="num" w:pos="927" w:leader="none"/>
        </w:tabs>
      </w:pPr>
      <w:rPr>
        <w:rFonts w:hint="default" w:ascii="Symbol" w:hAnsi="Symbol"/>
      </w:rPr>
    </w:lvl>
    <w:lvl w:ilvl="1">
      <w:start w:val="1"/>
      <w:numFmt w:val="bullet"/>
      <w:isLgl w:val="false"/>
      <w:suff w:val="tab"/>
      <w:lvlText w:val="o"/>
      <w:lvlJc w:val="left"/>
      <w:pPr>
        <w:ind w:left="1647" w:hanging="360"/>
        <w:tabs>
          <w:tab w:val="num" w:pos="1647" w:leader="none"/>
        </w:tabs>
      </w:pPr>
      <w:rPr>
        <w:rFonts w:hint="default" w:ascii="Courier New" w:hAnsi="Courier New" w:cs="Courier New"/>
      </w:rPr>
    </w:lvl>
    <w:lvl w:ilvl="2">
      <w:start w:val="1"/>
      <w:numFmt w:val="bullet"/>
      <w:isLgl w:val="false"/>
      <w:suff w:val="tab"/>
      <w:lvlText w:val=""/>
      <w:lvlJc w:val="left"/>
      <w:pPr>
        <w:ind w:left="2367" w:hanging="360"/>
        <w:tabs>
          <w:tab w:val="num" w:pos="2367" w:leader="none"/>
        </w:tabs>
      </w:pPr>
      <w:rPr>
        <w:rFonts w:hint="default" w:ascii="Wingdings" w:hAnsi="Wingdings"/>
      </w:rPr>
    </w:lvl>
    <w:lvl w:ilvl="3">
      <w:start w:val="1"/>
      <w:numFmt w:val="bullet"/>
      <w:isLgl w:val="false"/>
      <w:suff w:val="tab"/>
      <w:lvlText w:val=""/>
      <w:lvlJc w:val="left"/>
      <w:pPr>
        <w:ind w:left="3087" w:hanging="360"/>
        <w:tabs>
          <w:tab w:val="num" w:pos="3087" w:leader="none"/>
        </w:tabs>
      </w:pPr>
      <w:rPr>
        <w:rFonts w:hint="default" w:ascii="Symbol" w:hAnsi="Symbol"/>
      </w:rPr>
    </w:lvl>
    <w:lvl w:ilvl="4">
      <w:start w:val="1"/>
      <w:numFmt w:val="bullet"/>
      <w:isLgl w:val="false"/>
      <w:suff w:val="tab"/>
      <w:lvlText w:val="o"/>
      <w:lvlJc w:val="left"/>
      <w:pPr>
        <w:ind w:left="3807" w:hanging="360"/>
        <w:tabs>
          <w:tab w:val="num" w:pos="3807" w:leader="none"/>
        </w:tabs>
      </w:pPr>
      <w:rPr>
        <w:rFonts w:hint="default" w:ascii="Courier New" w:hAnsi="Courier New" w:cs="Courier New"/>
      </w:rPr>
    </w:lvl>
    <w:lvl w:ilvl="5">
      <w:start w:val="1"/>
      <w:numFmt w:val="bullet"/>
      <w:isLgl w:val="false"/>
      <w:suff w:val="tab"/>
      <w:lvlText w:val=""/>
      <w:lvlJc w:val="left"/>
      <w:pPr>
        <w:ind w:left="4527" w:hanging="360"/>
        <w:tabs>
          <w:tab w:val="num" w:pos="4527" w:leader="none"/>
        </w:tabs>
      </w:pPr>
      <w:rPr>
        <w:rFonts w:hint="default" w:ascii="Wingdings" w:hAnsi="Wingdings"/>
      </w:rPr>
    </w:lvl>
    <w:lvl w:ilvl="6">
      <w:start w:val="1"/>
      <w:numFmt w:val="bullet"/>
      <w:isLgl w:val="false"/>
      <w:suff w:val="tab"/>
      <w:lvlText w:val=""/>
      <w:lvlJc w:val="left"/>
      <w:pPr>
        <w:ind w:left="5247" w:hanging="360"/>
        <w:tabs>
          <w:tab w:val="num" w:pos="5247" w:leader="none"/>
        </w:tabs>
      </w:pPr>
      <w:rPr>
        <w:rFonts w:hint="default" w:ascii="Symbol" w:hAnsi="Symbol"/>
      </w:rPr>
    </w:lvl>
    <w:lvl w:ilvl="7">
      <w:start w:val="1"/>
      <w:numFmt w:val="bullet"/>
      <w:isLgl w:val="false"/>
      <w:suff w:val="tab"/>
      <w:lvlText w:val="o"/>
      <w:lvlJc w:val="left"/>
      <w:pPr>
        <w:ind w:left="5967" w:hanging="360"/>
        <w:tabs>
          <w:tab w:val="num" w:pos="5967" w:leader="none"/>
        </w:tabs>
      </w:pPr>
      <w:rPr>
        <w:rFonts w:hint="default" w:ascii="Courier New" w:hAnsi="Courier New" w:cs="Courier New"/>
      </w:rPr>
    </w:lvl>
    <w:lvl w:ilvl="8">
      <w:start w:val="1"/>
      <w:numFmt w:val="bullet"/>
      <w:isLgl w:val="false"/>
      <w:suff w:val="tab"/>
      <w:lvlText w:val=""/>
      <w:lvlJc w:val="left"/>
      <w:pPr>
        <w:ind w:left="6687" w:hanging="360"/>
        <w:tabs>
          <w:tab w:val="num" w:pos="6687" w:leader="none"/>
        </w:tabs>
      </w:pPr>
      <w:rPr>
        <w:rFonts w:hint="default" w:ascii="Wingdings" w:hAnsi="Wingdings"/>
      </w:rPr>
    </w:lvl>
  </w:abstractNum>
  <w:abstractNum w:abstractNumId="16">
    <w:multiLevelType w:val="hybridMultilevel"/>
    <w:lvl w:ilvl="0">
      <w:start w:val="1"/>
      <w:numFmt w:val="bullet"/>
      <w:pStyle w:val="1493"/>
      <w:isLgl w:val="false"/>
      <w:suff w:val="tab"/>
      <w:lvlText w:val="–"/>
      <w:lvlJc w:val="left"/>
      <w:pPr>
        <w:ind w:left="2118" w:hanging="360"/>
      </w:pPr>
      <w:rPr>
        <w:rFonts w:hint="default" w:ascii="Verdana" w:hAnsi="Verdana" w:cs="Times New Roman"/>
        <w:b/>
        <w:i w:val="0"/>
        <w:color w:val="auto"/>
        <w:sz w:val="22"/>
      </w:rPr>
    </w:lvl>
    <w:lvl w:ilvl="1">
      <w:start w:val="1"/>
      <w:numFmt w:val="bullet"/>
      <w:isLgl w:val="false"/>
      <w:suff w:val="tab"/>
      <w:lvlText w:val="o"/>
      <w:lvlJc w:val="left"/>
      <w:pPr>
        <w:ind w:left="1588" w:hanging="284"/>
        <w:tabs>
          <w:tab w:val="num" w:pos="1588" w:leader="none"/>
        </w:tabs>
      </w:pPr>
      <w:rPr>
        <w:rFonts w:hint="default" w:ascii="Courier New" w:hAnsi="Courier New"/>
        <w:b w:val="0"/>
        <w:i w:val="0"/>
        <w:color w:val="auto"/>
        <w:sz w:val="28"/>
      </w:rPr>
    </w:lvl>
    <w:lvl w:ilvl="2">
      <w:start w:val="1"/>
      <w:numFmt w:val="bullet"/>
      <w:isLgl w:val="false"/>
      <w:suff w:val="tab"/>
      <w:lvlText w:val=""/>
      <w:lvlJc w:val="left"/>
      <w:pPr>
        <w:ind w:left="2160" w:hanging="360"/>
        <w:tabs>
          <w:tab w:val="num" w:pos="2160" w:leader="none"/>
        </w:tabs>
      </w:pPr>
      <w:rPr>
        <w:rFonts w:hint="default" w:ascii="Wingdings" w:hAnsi="Wingdings"/>
      </w:rPr>
    </w:lvl>
    <w:lvl w:ilvl="3">
      <w:start w:val="1"/>
      <w:numFmt w:val="bullet"/>
      <w:isLgl w:val="false"/>
      <w:suff w:val="tab"/>
      <w:lvlText w:val=""/>
      <w:lvlJc w:val="left"/>
      <w:pPr>
        <w:ind w:left="2880" w:hanging="360"/>
        <w:tabs>
          <w:tab w:val="num" w:pos="2880" w:leader="none"/>
        </w:tabs>
      </w:pPr>
      <w:rPr>
        <w:rFonts w:hint="default" w:ascii="Symbol" w:hAnsi="Symbol"/>
      </w:rPr>
    </w:lvl>
    <w:lvl w:ilvl="4">
      <w:start w:val="1"/>
      <w:numFmt w:val="bullet"/>
      <w:isLgl w:val="false"/>
      <w:suff w:val="tab"/>
      <w:lvlText w:val="o"/>
      <w:lvlJc w:val="left"/>
      <w:pPr>
        <w:ind w:left="3600" w:hanging="360"/>
        <w:tabs>
          <w:tab w:val="num" w:pos="3600" w:leader="none"/>
        </w:tabs>
      </w:pPr>
      <w:rPr>
        <w:rFonts w:hint="default" w:ascii="Courier New" w:hAnsi="Courier New" w:cs="Courier New"/>
      </w:rPr>
    </w:lvl>
    <w:lvl w:ilvl="5">
      <w:start w:val="1"/>
      <w:numFmt w:val="bullet"/>
      <w:isLgl w:val="false"/>
      <w:suff w:val="tab"/>
      <w:lvlText w:val=""/>
      <w:lvlJc w:val="left"/>
      <w:pPr>
        <w:ind w:left="4320" w:hanging="360"/>
        <w:tabs>
          <w:tab w:val="num" w:pos="4320" w:leader="none"/>
        </w:tabs>
      </w:pPr>
      <w:rPr>
        <w:rFonts w:hint="default" w:ascii="Wingdings" w:hAnsi="Wingdings"/>
      </w:rPr>
    </w:lvl>
    <w:lvl w:ilvl="6">
      <w:start w:val="1"/>
      <w:numFmt w:val="bullet"/>
      <w:isLgl w:val="false"/>
      <w:suff w:val="tab"/>
      <w:lvlText w:val=""/>
      <w:lvlJc w:val="left"/>
      <w:pPr>
        <w:ind w:left="5040" w:hanging="360"/>
        <w:tabs>
          <w:tab w:val="num" w:pos="5040" w:leader="none"/>
        </w:tabs>
      </w:pPr>
      <w:rPr>
        <w:rFonts w:hint="default" w:ascii="Symbol" w:hAnsi="Symbol"/>
      </w:rPr>
    </w:lvl>
    <w:lvl w:ilvl="7">
      <w:start w:val="1"/>
      <w:numFmt w:val="bullet"/>
      <w:isLgl w:val="false"/>
      <w:suff w:val="tab"/>
      <w:lvlText w:val="o"/>
      <w:lvlJc w:val="left"/>
      <w:pPr>
        <w:ind w:left="5760" w:hanging="360"/>
        <w:tabs>
          <w:tab w:val="num" w:pos="5760" w:leader="none"/>
        </w:tabs>
      </w:pPr>
      <w:rPr>
        <w:rFonts w:hint="default" w:ascii="Courier New" w:hAnsi="Courier New" w:cs="Courier New"/>
      </w:rPr>
    </w:lvl>
    <w:lvl w:ilvl="8">
      <w:start w:val="1"/>
      <w:numFmt w:val="bullet"/>
      <w:isLgl w:val="false"/>
      <w:suff w:val="tab"/>
      <w:lvlText w:val=""/>
      <w:lvlJc w:val="left"/>
      <w:pPr>
        <w:ind w:left="6480" w:hanging="360"/>
        <w:tabs>
          <w:tab w:val="num" w:pos="6480" w:leader="none"/>
        </w:tabs>
      </w:pPr>
      <w:rPr>
        <w:rFonts w:hint="default" w:ascii="Wingdings" w:hAnsi="Wingdings"/>
      </w:rPr>
    </w:lvl>
  </w:abstractNum>
  <w:abstractNum w:abstractNumId="17">
    <w:multiLevelType w:val="hybridMultilevel"/>
    <w:styleLink w:val="1644"/>
    <w:lvl w:ilvl="0">
      <w:start w:val="1"/>
      <w:numFmt w:val="russianLower"/>
      <w:pStyle w:val="1644"/>
      <w:isLgl w:val="false"/>
      <w:suff w:val="tab"/>
      <w:lvlText w:val="%1)"/>
      <w:lvlJc w:val="left"/>
      <w:pPr>
        <w:ind w:left="454" w:hanging="341"/>
      </w:pPr>
      <w:rPr>
        <w:rFonts w:hint="default" w:ascii="Times New Roman" w:hAnsi="Times New Roman" w:cs="Times New Roman"/>
        <w:b w:val="0"/>
        <w:bCs w:val="0"/>
        <w:i w:val="0"/>
        <w:iCs w:val="0"/>
        <w:caps w:val="0"/>
        <w:smallCaps w:val="0"/>
        <w:strike w:val="0"/>
        <w:vanish w:val="0"/>
        <w:color w:val="000000"/>
        <w:spacing w:val="0"/>
        <w:position w:val="0"/>
        <w:sz w:val="20"/>
        <w:u w:val="none"/>
        <w:vertAlign w:val="baseline"/>
      </w:rPr>
    </w:lvl>
    <w:lvl w:ilvl="1">
      <w:start w:val="1"/>
      <w:numFmt w:val="decimal"/>
      <w:isLgl w:val="false"/>
      <w:suff w:val="tab"/>
      <w:lvlText w:val="%2)"/>
      <w:lvlJc w:val="left"/>
      <w:pPr>
        <w:ind w:left="680" w:hanging="454"/>
        <w:tabs>
          <w:tab w:val="num" w:pos="1247" w:leader="none"/>
        </w:tabs>
      </w:pPr>
      <w:rPr>
        <w:rFonts w:hint="default" w:ascii="Times New Roman" w:hAnsi="Times New Roman"/>
        <w:b w:val="0"/>
        <w:i w:val="0"/>
        <w:caps w:val="0"/>
        <w:strike w:val="0"/>
        <w:vanish w:val="0"/>
        <w:color w:val="000000"/>
        <w:spacing w:val="0"/>
        <w:position w:val="0"/>
        <w:sz w:val="24"/>
        <w:u w:val="none"/>
        <w:vertAlign w:val="baseline"/>
      </w:rPr>
    </w:lvl>
    <w:lvl w:ilvl="2">
      <w:start w:val="1"/>
      <w:numFmt w:val="none"/>
      <w:isLgl w:val="false"/>
      <w:suff w:val="tab"/>
      <w:lvlText w:val="-"/>
      <w:lvlJc w:val="left"/>
      <w:pPr>
        <w:ind w:left="793" w:hanging="454"/>
        <w:tabs>
          <w:tab w:val="num" w:pos="1360" w:leader="none"/>
        </w:tabs>
      </w:pPr>
      <w:rPr>
        <w:rFonts w:hint="default" w:ascii="Times New Roman" w:hAnsi="Times New Roman"/>
        <w:b w:val="0"/>
        <w:i w:val="0"/>
        <w:caps w:val="0"/>
        <w:strike w:val="0"/>
        <w:vanish w:val="0"/>
        <w:color w:val="auto"/>
        <w:spacing w:val="0"/>
        <w:position w:val="0"/>
        <w:sz w:val="24"/>
        <w:u w:val="none"/>
        <w:vertAlign w:val="baseline"/>
      </w:rPr>
    </w:lvl>
    <w:lvl w:ilvl="3">
      <w:start w:val="1"/>
      <w:numFmt w:val="none"/>
      <w:isLgl w:val="false"/>
      <w:suff w:val="tab"/>
      <w:lvlText w:val="-"/>
      <w:lvlJc w:val="left"/>
      <w:pPr>
        <w:ind w:left="906" w:hanging="454"/>
        <w:tabs>
          <w:tab w:val="num" w:pos="1473" w:leader="none"/>
        </w:tabs>
      </w:pPr>
      <w:rPr>
        <w:rFonts w:hint="default" w:ascii="Times New Roman" w:hAnsi="Times New Roman"/>
        <w:b w:val="0"/>
        <w:i w:val="0"/>
        <w:caps w:val="0"/>
        <w:strike w:val="0"/>
        <w:vanish w:val="0"/>
        <w:color w:val="auto"/>
        <w:spacing w:val="0"/>
        <w:position w:val="0"/>
        <w:sz w:val="24"/>
        <w:u w:val="none"/>
        <w:vertAlign w:val="baseline"/>
      </w:rPr>
    </w:lvl>
    <w:lvl w:ilvl="4">
      <w:start w:val="1"/>
      <w:numFmt w:val="none"/>
      <w:isLgl w:val="false"/>
      <w:suff w:val="tab"/>
      <w:lvlText w:val="-"/>
      <w:lvlJc w:val="left"/>
      <w:pPr>
        <w:ind w:left="1019" w:hanging="454"/>
        <w:tabs>
          <w:tab w:val="num" w:pos="1586" w:leader="none"/>
        </w:tabs>
      </w:pPr>
      <w:rPr>
        <w:rFonts w:hint="default" w:ascii="Times New Roman" w:hAnsi="Times New Roman"/>
        <w:b w:val="0"/>
        <w:i w:val="0"/>
        <w:caps w:val="0"/>
        <w:strike w:val="0"/>
        <w:vanish w:val="0"/>
        <w:color w:val="auto"/>
        <w:sz w:val="24"/>
        <w:u w:val="none"/>
        <w:vertAlign w:val="baseline"/>
      </w:rPr>
    </w:lvl>
    <w:lvl w:ilvl="5">
      <w:start w:val="1"/>
      <w:numFmt w:val="none"/>
      <w:isLgl w:val="false"/>
      <w:suff w:val="tab"/>
      <w:lvlText w:val="-"/>
      <w:lvlJc w:val="left"/>
      <w:pPr>
        <w:ind w:left="1132" w:hanging="454"/>
        <w:tabs>
          <w:tab w:val="num" w:pos="1699" w:leader="none"/>
        </w:tabs>
      </w:pPr>
      <w:rPr>
        <w:rFonts w:hint="default" w:ascii="Times New Roman" w:hAnsi="Times New Roman"/>
        <w:b w:val="0"/>
        <w:i w:val="0"/>
        <w:caps w:val="0"/>
        <w:strike w:val="0"/>
        <w:vanish w:val="0"/>
        <w:color w:val="auto"/>
        <w:spacing w:val="0"/>
        <w:position w:val="0"/>
        <w:sz w:val="24"/>
        <w:vertAlign w:val="baseline"/>
      </w:rPr>
    </w:lvl>
    <w:lvl w:ilvl="6">
      <w:start w:val="1"/>
      <w:numFmt w:val="none"/>
      <w:isLgl w:val="false"/>
      <w:suff w:val="tab"/>
      <w:lvlText w:val="-"/>
      <w:lvlJc w:val="left"/>
      <w:pPr>
        <w:ind w:left="1245" w:hanging="454"/>
        <w:tabs>
          <w:tab w:val="num" w:pos="1812" w:leader="none"/>
        </w:tabs>
      </w:pPr>
      <w:rPr>
        <w:rFonts w:hint="default"/>
      </w:rPr>
    </w:lvl>
    <w:lvl w:ilvl="7">
      <w:start w:val="1"/>
      <w:numFmt w:val="none"/>
      <w:isLgl w:val="false"/>
      <w:suff w:val="tab"/>
      <w:lvlText w:val="-"/>
      <w:lvlJc w:val="left"/>
      <w:pPr>
        <w:ind w:left="1358" w:hanging="454"/>
        <w:tabs>
          <w:tab w:val="num" w:pos="1925" w:leader="none"/>
        </w:tabs>
      </w:pPr>
      <w:rPr>
        <w:rFonts w:hint="default"/>
      </w:rPr>
    </w:lvl>
    <w:lvl w:ilvl="8">
      <w:start w:val="1"/>
      <w:numFmt w:val="none"/>
      <w:isLgl w:val="false"/>
      <w:suff w:val="tab"/>
      <w:lvlText w:val="-"/>
      <w:lvlJc w:val="left"/>
      <w:pPr>
        <w:ind w:left="1471" w:hanging="454"/>
        <w:tabs>
          <w:tab w:val="num" w:pos="2038" w:leader="none"/>
        </w:tabs>
      </w:pPr>
      <w:rPr>
        <w:rFonts w:hint="default"/>
      </w:rPr>
    </w:lvl>
  </w:abstractNum>
  <w:abstractNum w:abstractNumId="18">
    <w:multiLevelType w:val="hybridMultilevel"/>
    <w:lvl w:ilvl="0">
      <w:start w:val="1"/>
      <w:numFmt w:val="decimal"/>
      <w:isLgl w:val="false"/>
      <w:suff w:val="tab"/>
      <w:lvlText w:val="%1."/>
      <w:lvlJc w:val="left"/>
      <w:pPr>
        <w:ind w:left="1417" w:hanging="567"/>
        <w:tabs>
          <w:tab w:val="num" w:pos="1417" w:leader="none"/>
        </w:tabs>
      </w:pPr>
      <w:rPr>
        <w:rFonts w:hint="default" w:cs="Times New Roman"/>
        <w:sz w:val="24"/>
      </w:rPr>
    </w:lvl>
    <w:lvl w:ilvl="1">
      <w:start w:val="1"/>
      <w:numFmt w:val="decimal"/>
      <w:lvlRestart w:val="0"/>
      <w:pStyle w:val="2292"/>
      <w:isLgl/>
      <w:suff w:val="tab"/>
      <w:lvlText w:val="%1.%2."/>
      <w:lvlJc w:val="left"/>
      <w:pPr>
        <w:ind w:left="1474" w:hanging="453"/>
        <w:tabs>
          <w:tab w:val="num" w:pos="1474" w:leader="none"/>
        </w:tabs>
      </w:pPr>
      <w:rPr>
        <w:rFonts w:hint="default" w:ascii="Times New Roman" w:hAnsi="Times New Roman" w:cs="Times New Roman"/>
        <w:b w:val="0"/>
        <w:i w:val="0"/>
        <w:sz w:val="24"/>
      </w:rPr>
    </w:lvl>
    <w:lvl w:ilvl="2">
      <w:start w:val="1"/>
      <w:numFmt w:val="decimal"/>
      <w:isLgl/>
      <w:suff w:val="tab"/>
      <w:lvlText w:val="%1.%2.%3."/>
      <w:lvlJc w:val="left"/>
      <w:pPr>
        <w:ind w:left="2268" w:hanging="738"/>
        <w:tabs>
          <w:tab w:val="num" w:pos="2268" w:leader="none"/>
        </w:tabs>
      </w:pPr>
      <w:rPr>
        <w:rFonts w:hint="default" w:ascii="Times New Roman" w:hAnsi="Times New Roman" w:cs="Times New Roman"/>
        <w:b w:val="0"/>
        <w:i w:val="0"/>
        <w:sz w:val="24"/>
      </w:rPr>
    </w:lvl>
    <w:lvl w:ilvl="3">
      <w:start w:val="1"/>
      <w:numFmt w:val="decimal"/>
      <w:isLgl w:val="false"/>
      <w:suff w:val="space"/>
      <w:lvlText w:val="%1.%2.%3.%4."/>
      <w:lvlJc w:val="left"/>
      <w:pPr>
        <w:ind w:left="283" w:hanging="567"/>
      </w:pPr>
      <w:rPr>
        <w:rFonts w:hint="default" w:ascii="Times New Roman" w:hAnsi="Times New Roman" w:cs="Times New Roman"/>
        <w:b w:val="0"/>
        <w:i w:val="0"/>
        <w:sz w:val="24"/>
      </w:rPr>
    </w:lvl>
    <w:lvl w:ilvl="4">
      <w:start w:val="1"/>
      <w:numFmt w:val="decimal"/>
      <w:isLgl w:val="false"/>
      <w:suff w:val="space"/>
      <w:lvlText w:val="%1.%2.%3.%4.%5"/>
      <w:lvlJc w:val="left"/>
      <w:pPr>
        <w:ind w:left="850" w:hanging="567"/>
      </w:pPr>
      <w:rPr>
        <w:rFonts w:hint="default" w:cs="Times New Roman"/>
      </w:rPr>
    </w:lvl>
    <w:lvl w:ilvl="5">
      <w:start w:val="1"/>
      <w:numFmt w:val="decimal"/>
      <w:isLgl w:val="false"/>
      <w:suff w:val="tab"/>
      <w:lvlText w:val="%1.%2.%3.%4.%5.%6"/>
      <w:lvlJc w:val="left"/>
      <w:pPr>
        <w:ind w:left="-833" w:hanging="1152"/>
        <w:tabs>
          <w:tab w:val="num" w:pos="-833" w:leader="none"/>
        </w:tabs>
      </w:pPr>
      <w:rPr>
        <w:rFonts w:hint="default" w:cs="Times New Roman"/>
      </w:rPr>
    </w:lvl>
    <w:lvl w:ilvl="6">
      <w:start w:val="1"/>
      <w:numFmt w:val="decimal"/>
      <w:isLgl w:val="false"/>
      <w:suff w:val="tab"/>
      <w:lvlText w:val="%1.%2.%3.%4.%5.%6.%7"/>
      <w:lvlJc w:val="left"/>
      <w:pPr>
        <w:ind w:left="-689" w:hanging="1296"/>
        <w:tabs>
          <w:tab w:val="num" w:pos="-689" w:leader="none"/>
        </w:tabs>
      </w:pPr>
      <w:rPr>
        <w:rFonts w:hint="default" w:cs="Times New Roman"/>
      </w:rPr>
    </w:lvl>
    <w:lvl w:ilvl="7">
      <w:start w:val="1"/>
      <w:numFmt w:val="decimal"/>
      <w:isLgl w:val="false"/>
      <w:suff w:val="tab"/>
      <w:lvlText w:val="%1.%2.%3.%4.%5.%6.%7.%8"/>
      <w:lvlJc w:val="left"/>
      <w:pPr>
        <w:ind w:left="-545" w:hanging="1440"/>
        <w:tabs>
          <w:tab w:val="num" w:pos="-545" w:leader="none"/>
        </w:tabs>
      </w:pPr>
      <w:rPr>
        <w:rFonts w:hint="default" w:cs="Times New Roman"/>
      </w:rPr>
    </w:lvl>
    <w:lvl w:ilvl="8">
      <w:start w:val="1"/>
      <w:numFmt w:val="decimal"/>
      <w:isLgl w:val="false"/>
      <w:suff w:val="tab"/>
      <w:lvlText w:val="%1.%2.%3.%4.%5.%6.%7.%8.%9"/>
      <w:lvlJc w:val="left"/>
      <w:pPr>
        <w:ind w:left="-401" w:hanging="1584"/>
        <w:tabs>
          <w:tab w:val="num" w:pos="-401" w:leader="none"/>
        </w:tabs>
      </w:pPr>
      <w:rPr>
        <w:rFonts w:hint="default" w:cs="Times New Roman"/>
      </w:rPr>
    </w:lvl>
  </w:abstractNum>
  <w:abstractNum w:abstractNumId="19">
    <w:multiLevelType w:val="hybridMultilevel"/>
    <w:lvl w:ilvl="0">
      <w:start w:val="1"/>
      <w:numFmt w:val="russianLower"/>
      <w:pStyle w:val="2071"/>
      <w:isLgl w:val="false"/>
      <w:suff w:val="tab"/>
      <w:lvlText w:val="%1)"/>
      <w:lvlJc w:val="left"/>
      <w:pPr>
        <w:ind w:left="1208" w:hanging="357"/>
        <w:tabs>
          <w:tab w:val="num" w:pos="1208" w:leader="none"/>
        </w:tabs>
      </w:pPr>
      <w:rPr>
        <w:rFonts w:hint="default"/>
      </w:rPr>
    </w:lvl>
    <w:lvl w:ilvl="1">
      <w:start w:val="1"/>
      <w:numFmt w:val="decimal"/>
      <w:isLgl w:val="false"/>
      <w:suff w:val="tab"/>
      <w:lvlText w:val="%2)"/>
      <w:lvlJc w:val="left"/>
      <w:pPr>
        <w:ind w:left="1491" w:hanging="357"/>
        <w:tabs>
          <w:tab w:val="num" w:pos="1491" w:leader="none"/>
        </w:tabs>
      </w:pPr>
      <w:rPr>
        <w:rFonts w:hint="default"/>
      </w:rPr>
    </w:lvl>
    <w:lvl w:ilvl="2">
      <w:start w:val="1"/>
      <w:numFmt w:val="lowerRoman"/>
      <w:isLgl w:val="false"/>
      <w:suff w:val="tab"/>
      <w:lvlText w:val="%3)"/>
      <w:lvlJc w:val="left"/>
      <w:pPr>
        <w:ind w:left="1080" w:hanging="360"/>
        <w:tabs>
          <w:tab w:val="num" w:pos="1080" w:leader="none"/>
        </w:tabs>
      </w:pPr>
      <w:rPr>
        <w:rFonts w:hint="default"/>
      </w:rPr>
    </w:lvl>
    <w:lvl w:ilvl="3">
      <w:start w:val="1"/>
      <w:numFmt w:val="decimal"/>
      <w:isLgl w:val="false"/>
      <w:suff w:val="tab"/>
      <w:lvlText w:val="(%4)"/>
      <w:lvlJc w:val="left"/>
      <w:pPr>
        <w:ind w:left="1440" w:hanging="360"/>
        <w:tabs>
          <w:tab w:val="num" w:pos="1440" w:leader="none"/>
        </w:tabs>
      </w:pPr>
      <w:rPr>
        <w:rFonts w:hint="default"/>
      </w:rPr>
    </w:lvl>
    <w:lvl w:ilvl="4">
      <w:start w:val="1"/>
      <w:numFmt w:val="lowerLetter"/>
      <w:isLgl w:val="false"/>
      <w:suff w:val="tab"/>
      <w:lvlText w:val="(%5)"/>
      <w:lvlJc w:val="left"/>
      <w:pPr>
        <w:ind w:left="1800" w:hanging="360"/>
        <w:tabs>
          <w:tab w:val="num" w:pos="1800" w:leader="none"/>
        </w:tabs>
      </w:pPr>
      <w:rPr>
        <w:rFonts w:hint="default"/>
      </w:rPr>
    </w:lvl>
    <w:lvl w:ilvl="5">
      <w:start w:val="1"/>
      <w:numFmt w:val="lowerRoman"/>
      <w:isLgl w:val="false"/>
      <w:suff w:val="tab"/>
      <w:lvlText w:val="(%6)"/>
      <w:lvlJc w:val="left"/>
      <w:pPr>
        <w:ind w:left="2160" w:hanging="360"/>
        <w:tabs>
          <w:tab w:val="num" w:pos="2160" w:leader="none"/>
        </w:tabs>
      </w:pPr>
      <w:rPr>
        <w:rFonts w:hint="default"/>
      </w:rPr>
    </w:lvl>
    <w:lvl w:ilvl="6">
      <w:start w:val="1"/>
      <w:numFmt w:val="decimal"/>
      <w:isLgl w:val="false"/>
      <w:suff w:val="tab"/>
      <w:lvlText w:val="%7."/>
      <w:lvlJc w:val="left"/>
      <w:pPr>
        <w:ind w:left="2520" w:hanging="360"/>
        <w:tabs>
          <w:tab w:val="num" w:pos="2520" w:leader="none"/>
        </w:tabs>
      </w:pPr>
      <w:rPr>
        <w:rFonts w:hint="default"/>
      </w:rPr>
    </w:lvl>
    <w:lvl w:ilvl="7">
      <w:start w:val="1"/>
      <w:numFmt w:val="lowerLetter"/>
      <w:isLgl w:val="false"/>
      <w:suff w:val="tab"/>
      <w:lvlText w:val="%8."/>
      <w:lvlJc w:val="left"/>
      <w:pPr>
        <w:ind w:left="2880" w:hanging="360"/>
        <w:tabs>
          <w:tab w:val="num" w:pos="2880" w:leader="none"/>
        </w:tabs>
      </w:pPr>
      <w:rPr>
        <w:rFonts w:hint="default"/>
      </w:rPr>
    </w:lvl>
    <w:lvl w:ilvl="8">
      <w:start w:val="1"/>
      <w:numFmt w:val="lowerRoman"/>
      <w:isLgl w:val="false"/>
      <w:suff w:val="tab"/>
      <w:lvlText w:val="%9."/>
      <w:lvlJc w:val="left"/>
      <w:pPr>
        <w:ind w:left="3240" w:hanging="360"/>
        <w:tabs>
          <w:tab w:val="num" w:pos="3240" w:leader="none"/>
        </w:tabs>
      </w:pPr>
      <w:rPr>
        <w:rFonts w:hint="default"/>
      </w:rPr>
    </w:lvl>
  </w:abstractNum>
  <w:abstractNum w:abstractNumId="20">
    <w:multiLevelType w:val="hybridMultilevel"/>
    <w:lvl w:ilvl="0">
      <w:start w:val="1"/>
      <w:numFmt w:val="decimal"/>
      <w:pStyle w:val="2049"/>
      <w:isLgl w:val="false"/>
      <w:suff w:val="tab"/>
      <w:lvlText w:val="E5.%1."/>
      <w:lvlJc w:val="left"/>
      <w:pPr>
        <w:ind w:left="417" w:hanging="360"/>
      </w:pPr>
      <w:rPr>
        <w:rFonts w:hint="default" w:ascii="Times New Roman" w:hAnsi="Times New Roman" w:cs="Times New Roman"/>
        <w:b w:val="0"/>
        <w:bCs w:val="0"/>
        <w:i w:val="0"/>
        <w:iCs w:val="0"/>
        <w:caps w:val="0"/>
        <w:smallCaps w:val="0"/>
        <w:strike w:val="0"/>
        <w:vanish w:val="0"/>
        <w:color w:val="000000"/>
        <w:spacing w:val="0"/>
        <w:position w:val="0"/>
        <w:sz w:val="24"/>
        <w:szCs w:val="24"/>
        <w:u w:val="none"/>
        <w:vertAlign w:val="baseline"/>
      </w:rPr>
    </w:lvl>
    <w:lvl w:ilvl="1">
      <w:start w:val="1"/>
      <w:numFmt w:val="lowerLetter"/>
      <w:isLgl w:val="false"/>
      <w:suff w:val="tab"/>
      <w:lvlText w:val="%2."/>
      <w:lvlJc w:val="left"/>
      <w:pPr>
        <w:ind w:left="1440" w:hanging="360"/>
      </w:pPr>
      <w:rPr>
        <w:rFonts w:cs="Times New Roman"/>
      </w:rPr>
    </w:lvl>
    <w:lvl w:ilvl="2">
      <w:start w:val="1"/>
      <w:numFmt w:val="lowerRoman"/>
      <w:isLgl w:val="false"/>
      <w:suff w:val="tab"/>
      <w:lvlText w:val="%3."/>
      <w:lvlJc w:val="right"/>
      <w:pPr>
        <w:ind w:left="2160" w:hanging="180"/>
      </w:pPr>
      <w:rPr>
        <w:rFonts w:cs="Times New Roman"/>
      </w:rPr>
    </w:lvl>
    <w:lvl w:ilvl="3">
      <w:start w:val="1"/>
      <w:numFmt w:val="decimal"/>
      <w:isLgl w:val="false"/>
      <w:suff w:val="tab"/>
      <w:lvlText w:val="%4."/>
      <w:lvlJc w:val="left"/>
      <w:pPr>
        <w:ind w:left="2880" w:hanging="360"/>
      </w:pPr>
      <w:rPr>
        <w:rFonts w:cs="Times New Roman"/>
      </w:rPr>
    </w:lvl>
    <w:lvl w:ilvl="4">
      <w:start w:val="1"/>
      <w:numFmt w:val="lowerLetter"/>
      <w:isLgl w:val="false"/>
      <w:suff w:val="tab"/>
      <w:lvlText w:val="%5."/>
      <w:lvlJc w:val="left"/>
      <w:pPr>
        <w:ind w:left="3600" w:hanging="360"/>
      </w:pPr>
      <w:rPr>
        <w:rFonts w:cs="Times New Roman"/>
      </w:rPr>
    </w:lvl>
    <w:lvl w:ilvl="5">
      <w:start w:val="1"/>
      <w:numFmt w:val="lowerRoman"/>
      <w:isLgl w:val="false"/>
      <w:suff w:val="tab"/>
      <w:lvlText w:val="%6."/>
      <w:lvlJc w:val="right"/>
      <w:pPr>
        <w:ind w:left="4320" w:hanging="180"/>
      </w:pPr>
      <w:rPr>
        <w:rFonts w:cs="Times New Roman"/>
      </w:rPr>
    </w:lvl>
    <w:lvl w:ilvl="6">
      <w:start w:val="1"/>
      <w:numFmt w:val="decimal"/>
      <w:isLgl w:val="false"/>
      <w:suff w:val="tab"/>
      <w:lvlText w:val="%7."/>
      <w:lvlJc w:val="left"/>
      <w:pPr>
        <w:ind w:left="5040" w:hanging="360"/>
      </w:pPr>
      <w:rPr>
        <w:rFonts w:cs="Times New Roman"/>
      </w:rPr>
    </w:lvl>
    <w:lvl w:ilvl="7">
      <w:start w:val="1"/>
      <w:numFmt w:val="lowerLetter"/>
      <w:isLgl w:val="false"/>
      <w:suff w:val="tab"/>
      <w:lvlText w:val="%8."/>
      <w:lvlJc w:val="left"/>
      <w:pPr>
        <w:ind w:left="5760" w:hanging="360"/>
      </w:pPr>
      <w:rPr>
        <w:rFonts w:cs="Times New Roman"/>
      </w:rPr>
    </w:lvl>
    <w:lvl w:ilvl="8">
      <w:start w:val="1"/>
      <w:numFmt w:val="lowerRoman"/>
      <w:isLgl w:val="false"/>
      <w:suff w:val="tab"/>
      <w:lvlText w:val="%9."/>
      <w:lvlJc w:val="right"/>
      <w:pPr>
        <w:ind w:left="6480" w:hanging="180"/>
      </w:pPr>
      <w:rPr>
        <w:rFonts w:cs="Times New Roman"/>
      </w:rPr>
    </w:lvl>
  </w:abstractNum>
  <w:abstractNum w:abstractNumId="21">
    <w:multiLevelType w:val="hybridMultilevel"/>
    <w:styleLink w:val="1848"/>
    <w:lvl w:ilvl="0">
      <w:start w:val="1"/>
      <w:numFmt w:val="decimal"/>
      <w:pStyle w:val="1848"/>
      <w:isLgl w:val="false"/>
      <w:suff w:val="tab"/>
      <w:lvlText w:val="A0.%1."/>
      <w:lvlJc w:val="left"/>
      <w:pPr>
        <w:ind w:left="227" w:hanging="227"/>
        <w:tabs>
          <w:tab w:val="num" w:pos="227" w:leader="none"/>
        </w:tabs>
      </w:pPr>
      <w:rPr>
        <w:rFonts w:hint="default" w:ascii="Times New Roman" w:hAnsi="Times New Roman" w:cs="Times New Roman"/>
        <w:b w:val="0"/>
        <w:bCs w:val="0"/>
        <w:i w:val="0"/>
        <w:iCs w:val="0"/>
        <w:caps w:val="0"/>
        <w:smallCaps w:val="0"/>
        <w:strike w:val="0"/>
        <w:vanish w:val="0"/>
        <w:color w:val="000000"/>
        <w:spacing w:val="0"/>
        <w:position w:val="0"/>
        <w:sz w:val="24"/>
        <w:u w:val="none"/>
        <w:vertAlign w:val="baseline"/>
      </w:rPr>
    </w:lvl>
    <w:lvl w:ilvl="1">
      <w:start w:val="1"/>
      <w:numFmt w:val="decimal"/>
      <w:isLgl w:val="false"/>
      <w:suff w:val="tab"/>
      <w:lvlText w:val="А0%1.%2."/>
      <w:lvlJc w:val="left"/>
      <w:pPr>
        <w:ind w:left="425" w:hanging="425"/>
        <w:tabs>
          <w:tab w:val="num" w:pos="283" w:leader="none"/>
        </w:tabs>
      </w:pPr>
      <w:rPr>
        <w:rFonts w:hint="default" w:ascii="Times New Roman" w:hAnsi="Times New Roman"/>
        <w:b w:val="0"/>
        <w:bCs w:val="0"/>
        <w:i w:val="0"/>
        <w:iCs w:val="0"/>
        <w:caps w:val="0"/>
        <w:smallCaps w:val="0"/>
        <w:strike w:val="0"/>
        <w:vanish w:val="0"/>
        <w:color w:val="000000"/>
        <w:spacing w:val="0"/>
        <w:position w:val="0"/>
        <w:sz w:val="24"/>
        <w:u w:val="none"/>
        <w:vertAlign w:val="baseline"/>
      </w:rPr>
    </w:lvl>
    <w:lvl w:ilvl="2">
      <w:start w:val="1"/>
      <w:numFmt w:val="decimal"/>
      <w:isLgl w:val="false"/>
      <w:suff w:val="tab"/>
      <w:lvlText w:val="%2.%1.%3."/>
      <w:lvlJc w:val="left"/>
      <w:pPr>
        <w:ind w:left="1219" w:hanging="567"/>
        <w:tabs>
          <w:tab w:val="num" w:pos="1077" w:leader="none"/>
        </w:tabs>
      </w:pPr>
      <w:rPr>
        <w:rFonts w:hint="default" w:ascii="Times New Roman" w:hAnsi="Times New Roman"/>
        <w:sz w:val="24"/>
        <w:szCs w:val="24"/>
      </w:rPr>
    </w:lvl>
    <w:lvl w:ilvl="3">
      <w:start w:val="1"/>
      <w:numFmt w:val="decimal"/>
      <w:isLgl w:val="false"/>
      <w:suff w:val="tab"/>
      <w:lvlText w:val="%1.%2.%3.%4."/>
      <w:lvlJc w:val="left"/>
      <w:pPr>
        <w:ind w:left="2238" w:hanging="648"/>
        <w:tabs>
          <w:tab w:val="num" w:pos="2310" w:leader="none"/>
        </w:tabs>
      </w:pPr>
      <w:rPr>
        <w:rFonts w:hint="default"/>
      </w:rPr>
    </w:lvl>
    <w:lvl w:ilvl="4">
      <w:start w:val="1"/>
      <w:numFmt w:val="decimal"/>
      <w:isLgl w:val="false"/>
      <w:suff w:val="tab"/>
      <w:lvlText w:val="%1.%2.%3.%4.%5."/>
      <w:lvlJc w:val="left"/>
      <w:pPr>
        <w:ind w:left="2742" w:hanging="792"/>
        <w:tabs>
          <w:tab w:val="num" w:pos="3030" w:leader="none"/>
        </w:tabs>
      </w:pPr>
      <w:rPr>
        <w:rFonts w:hint="default"/>
      </w:rPr>
    </w:lvl>
    <w:lvl w:ilvl="5">
      <w:start w:val="1"/>
      <w:numFmt w:val="decimal"/>
      <w:isLgl w:val="false"/>
      <w:suff w:val="tab"/>
      <w:lvlText w:val="%1.%2.%3.%4.%5.%6."/>
      <w:lvlJc w:val="left"/>
      <w:pPr>
        <w:ind w:left="3246" w:hanging="936"/>
        <w:tabs>
          <w:tab w:val="num" w:pos="3390" w:leader="none"/>
        </w:tabs>
      </w:pPr>
      <w:rPr>
        <w:rFonts w:hint="default"/>
      </w:rPr>
    </w:lvl>
    <w:lvl w:ilvl="6">
      <w:start w:val="1"/>
      <w:numFmt w:val="decimal"/>
      <w:isLgl w:val="false"/>
      <w:suff w:val="tab"/>
      <w:lvlText w:val="%1.%2.%3.%4.%5.%6.%7."/>
      <w:lvlJc w:val="left"/>
      <w:pPr>
        <w:ind w:left="3750" w:hanging="1080"/>
        <w:tabs>
          <w:tab w:val="num" w:pos="4110" w:leader="none"/>
        </w:tabs>
      </w:pPr>
      <w:rPr>
        <w:rFonts w:hint="default"/>
      </w:rPr>
    </w:lvl>
    <w:lvl w:ilvl="7">
      <w:start w:val="1"/>
      <w:numFmt w:val="decimal"/>
      <w:isLgl w:val="false"/>
      <w:suff w:val="tab"/>
      <w:lvlText w:val="%1.%2.%3.%4.%5.%6.%7.%8."/>
      <w:lvlJc w:val="left"/>
      <w:pPr>
        <w:ind w:left="4254" w:hanging="1224"/>
        <w:tabs>
          <w:tab w:val="num" w:pos="4470" w:leader="none"/>
        </w:tabs>
      </w:pPr>
      <w:rPr>
        <w:rFonts w:hint="default"/>
      </w:rPr>
    </w:lvl>
    <w:lvl w:ilvl="8">
      <w:start w:val="1"/>
      <w:numFmt w:val="decimal"/>
      <w:isLgl w:val="false"/>
      <w:suff w:val="tab"/>
      <w:lvlText w:val="%1.%2.%3.%4.%5.%6.%7.%8.%9."/>
      <w:lvlJc w:val="left"/>
      <w:pPr>
        <w:ind w:left="4830" w:hanging="1440"/>
        <w:tabs>
          <w:tab w:val="num" w:pos="5190" w:leader="none"/>
        </w:tabs>
      </w:pPr>
      <w:rPr>
        <w:rFonts w:hint="default"/>
      </w:rPr>
    </w:lvl>
  </w:abstractNum>
  <w:abstractNum w:abstractNumId="22">
    <w:multiLevelType w:val="hybridMultilevel"/>
    <w:lvl w:ilvl="0">
      <w:start w:val="1"/>
      <w:numFmt w:val="bullet"/>
      <w:pStyle w:val="2030"/>
      <w:isLgl w:val="false"/>
      <w:suff w:val="tab"/>
      <w:lvlText w:val=""/>
      <w:lvlJc w:val="left"/>
      <w:pPr>
        <w:ind w:left="1426" w:hanging="360"/>
        <w:tabs>
          <w:tab w:val="num" w:pos="1426" w:leader="none"/>
        </w:tabs>
      </w:pPr>
      <w:rPr>
        <w:rFonts w:hint="default" w:ascii="Symbol" w:hAnsi="Symbol"/>
        <w:b w:val="0"/>
        <w:i w:val="0"/>
      </w:rPr>
    </w:lvl>
    <w:lvl w:ilvl="1">
      <w:start w:val="1"/>
      <w:numFmt w:val="bullet"/>
      <w:isLgl w:val="false"/>
      <w:suff w:val="tab"/>
      <w:lvlText w:val=""/>
      <w:lvlJc w:val="left"/>
      <w:pPr>
        <w:ind w:left="1440" w:hanging="360"/>
        <w:tabs>
          <w:tab w:val="num" w:pos="1440" w:leader="none"/>
        </w:tabs>
      </w:pPr>
      <w:rPr>
        <w:rFonts w:hint="default" w:ascii="Symbol" w:hAnsi="Symbol"/>
        <w:b w:val="0"/>
        <w:i w:val="0"/>
      </w:rPr>
    </w:lvl>
    <w:lvl w:ilvl="2">
      <w:start w:val="1"/>
      <w:numFmt w:val="bullet"/>
      <w:isLgl w:val="false"/>
      <w:suff w:val="tab"/>
      <w:lvlText w:val=""/>
      <w:lvlJc w:val="left"/>
      <w:pPr>
        <w:ind w:left="2340" w:hanging="360"/>
        <w:tabs>
          <w:tab w:val="num" w:pos="2340" w:leader="none"/>
        </w:tabs>
      </w:pPr>
      <w:rPr>
        <w:rFonts w:ascii="Wingdings" w:hAnsi="Wingdings"/>
        <w:sz w:val="24"/>
      </w:rPr>
    </w:lvl>
    <w:lvl w:ilvl="3">
      <w:start w:val="1"/>
      <w:numFmt w:val="decimal"/>
      <w:isLgl w:val="false"/>
      <w:suff w:val="tab"/>
      <w:lvlText w:val="%4."/>
      <w:lvlJc w:val="left"/>
      <w:pPr>
        <w:ind w:left="2880" w:hanging="360"/>
        <w:tabs>
          <w:tab w:val="num" w:pos="2880" w:leader="none"/>
        </w:tabs>
      </w:pPr>
      <w:rPr>
        <w:rFonts w:cs="Times New Roman"/>
      </w:rPr>
    </w:lvl>
    <w:lvl w:ilvl="4">
      <w:start w:val="1"/>
      <w:numFmt w:val="lowerLetter"/>
      <w:isLgl w:val="false"/>
      <w:suff w:val="tab"/>
      <w:lvlText w:val="%5."/>
      <w:lvlJc w:val="left"/>
      <w:pPr>
        <w:ind w:left="3600" w:hanging="360"/>
        <w:tabs>
          <w:tab w:val="num" w:pos="3600" w:leader="none"/>
        </w:tabs>
      </w:pPr>
      <w:rPr>
        <w:rFonts w:cs="Times New Roman"/>
      </w:rPr>
    </w:lvl>
    <w:lvl w:ilvl="5">
      <w:start w:val="1"/>
      <w:numFmt w:val="lowerRoman"/>
      <w:isLgl w:val="false"/>
      <w:suff w:val="tab"/>
      <w:lvlText w:val="%6."/>
      <w:lvlJc w:val="right"/>
      <w:pPr>
        <w:ind w:left="4320" w:hanging="180"/>
        <w:tabs>
          <w:tab w:val="num" w:pos="4320" w:leader="none"/>
        </w:tabs>
      </w:pPr>
      <w:rPr>
        <w:rFonts w:cs="Times New Roman"/>
      </w:rPr>
    </w:lvl>
    <w:lvl w:ilvl="6">
      <w:start w:val="1"/>
      <w:numFmt w:val="decimal"/>
      <w:isLgl w:val="false"/>
      <w:suff w:val="tab"/>
      <w:lvlText w:val="%7."/>
      <w:lvlJc w:val="left"/>
      <w:pPr>
        <w:ind w:left="5040" w:hanging="360"/>
        <w:tabs>
          <w:tab w:val="num" w:pos="5040" w:leader="none"/>
        </w:tabs>
      </w:pPr>
      <w:rPr>
        <w:rFonts w:cs="Times New Roman"/>
      </w:rPr>
    </w:lvl>
    <w:lvl w:ilvl="7">
      <w:start w:val="1"/>
      <w:numFmt w:val="lowerLetter"/>
      <w:isLgl w:val="false"/>
      <w:suff w:val="tab"/>
      <w:lvlText w:val="%8."/>
      <w:lvlJc w:val="left"/>
      <w:pPr>
        <w:ind w:left="5760" w:hanging="360"/>
        <w:tabs>
          <w:tab w:val="num" w:pos="5760" w:leader="none"/>
        </w:tabs>
      </w:pPr>
      <w:rPr>
        <w:rFonts w:cs="Times New Roman"/>
      </w:rPr>
    </w:lvl>
    <w:lvl w:ilvl="8">
      <w:start w:val="1"/>
      <w:numFmt w:val="lowerRoman"/>
      <w:isLgl w:val="false"/>
      <w:suff w:val="tab"/>
      <w:lvlText w:val="%9."/>
      <w:lvlJc w:val="right"/>
      <w:pPr>
        <w:ind w:left="6480" w:hanging="180"/>
        <w:tabs>
          <w:tab w:val="num" w:pos="6480" w:leader="none"/>
        </w:tabs>
      </w:pPr>
      <w:rPr>
        <w:rFonts w:cs="Times New Roman"/>
      </w:rPr>
    </w:lvl>
  </w:abstractNum>
  <w:abstractNum w:abstractNumId="23">
    <w:multiLevelType w:val="hybridMultilevel"/>
    <w:lvl w:ilvl="0">
      <w:start w:val="1"/>
      <w:numFmt w:val="decimal"/>
      <w:pStyle w:val="1319"/>
      <w:isLgl w:val="false"/>
      <w:suff w:val="tab"/>
      <w:lvlText w:val="%1."/>
      <w:lvlJc w:val="left"/>
      <w:pPr>
        <w:ind w:left="284" w:hanging="227"/>
        <w:tabs>
          <w:tab w:val="num" w:pos="284" w:leader="none"/>
        </w:tabs>
      </w:pPr>
      <w:rPr>
        <w:rFonts w:hint="default"/>
      </w:rPr>
    </w:lvl>
    <w:lvl w:ilvl="1">
      <w:start w:val="1"/>
      <w:numFmt w:val="decimal"/>
      <w:pStyle w:val="1475"/>
      <w:isLgl w:val="false"/>
      <w:suff w:val="tab"/>
      <w:lvlText w:val="%1.%2."/>
      <w:lvlJc w:val="left"/>
      <w:pPr>
        <w:ind w:left="284" w:hanging="227"/>
        <w:tabs>
          <w:tab w:val="num" w:pos="284" w:leader="none"/>
        </w:tabs>
      </w:pPr>
      <w:rPr>
        <w:rFonts w:hint="default"/>
      </w:rPr>
    </w:lvl>
    <w:lvl w:ilvl="2">
      <w:start w:val="1"/>
      <w:numFmt w:val="decimal"/>
      <w:pStyle w:val="2301"/>
      <w:isLgl w:val="false"/>
      <w:suff w:val="tab"/>
      <w:lvlText w:val="%1.%2.%3."/>
      <w:lvlJc w:val="left"/>
      <w:pPr>
        <w:ind w:left="284" w:hanging="227"/>
        <w:tabs>
          <w:tab w:val="num" w:pos="284" w:leader="none"/>
        </w:tabs>
      </w:pPr>
      <w:rPr>
        <w:rFonts w:hint="default"/>
      </w:rPr>
    </w:lvl>
    <w:lvl w:ilvl="3">
      <w:start w:val="1"/>
      <w:numFmt w:val="decimal"/>
      <w:pStyle w:val="2302"/>
      <w:isLgl w:val="false"/>
      <w:suff w:val="tab"/>
      <w:lvlText w:val="%1.%2.%3.%4."/>
      <w:lvlJc w:val="left"/>
      <w:pPr>
        <w:ind w:left="284" w:hanging="227"/>
        <w:tabs>
          <w:tab w:val="num" w:pos="284" w:leader="none"/>
        </w:tabs>
      </w:pPr>
      <w:rPr>
        <w:rFonts w:hint="default"/>
      </w:rPr>
    </w:lvl>
    <w:lvl w:ilvl="4">
      <w:start w:val="1"/>
      <w:numFmt w:val="decimal"/>
      <w:pStyle w:val="2303"/>
      <w:isLgl w:val="false"/>
      <w:suff w:val="tab"/>
      <w:lvlText w:val="%1.%2.%3.%4.%5."/>
      <w:lvlJc w:val="left"/>
      <w:pPr>
        <w:ind w:left="284" w:hanging="227"/>
        <w:tabs>
          <w:tab w:val="num" w:pos="284" w:leader="none"/>
        </w:tabs>
      </w:pPr>
      <w:rPr>
        <w:rFonts w:hint="default"/>
      </w:rPr>
    </w:lvl>
    <w:lvl w:ilvl="5">
      <w:start w:val="1"/>
      <w:numFmt w:val="decimal"/>
      <w:pStyle w:val="2305"/>
      <w:isLgl w:val="false"/>
      <w:suff w:val="tab"/>
      <w:lvlText w:val="%1.%2.%3.%4.%5.%6."/>
      <w:lvlJc w:val="left"/>
      <w:pPr>
        <w:ind w:left="284" w:hanging="227"/>
        <w:tabs>
          <w:tab w:val="num" w:pos="284" w:leader="none"/>
        </w:tabs>
      </w:pPr>
      <w:rPr>
        <w:rFonts w:hint="default"/>
      </w:rPr>
    </w:lvl>
    <w:lvl w:ilvl="6">
      <w:start w:val="1"/>
      <w:numFmt w:val="decimal"/>
      <w:pStyle w:val="2306"/>
      <w:isLgl w:val="false"/>
      <w:suff w:val="tab"/>
      <w:lvlText w:val="%1.%2.%3.%4.%5.%6.%7."/>
      <w:lvlJc w:val="left"/>
      <w:pPr>
        <w:ind w:left="284" w:hanging="227"/>
        <w:tabs>
          <w:tab w:val="num" w:pos="284" w:leader="none"/>
        </w:tabs>
      </w:pPr>
      <w:rPr>
        <w:rFonts w:hint="default"/>
      </w:rPr>
    </w:lvl>
    <w:lvl w:ilvl="7">
      <w:start w:val="1"/>
      <w:numFmt w:val="decimal"/>
      <w:isLgl w:val="false"/>
      <w:suff w:val="tab"/>
      <w:lvlText w:val="%1.%2.%3.%4.%5.%6.%7.%8."/>
      <w:lvlJc w:val="left"/>
      <w:pPr>
        <w:ind w:left="284" w:hanging="227"/>
        <w:tabs>
          <w:tab w:val="num" w:pos="284" w:leader="none"/>
        </w:tabs>
      </w:pPr>
      <w:rPr>
        <w:rFonts w:hint="default"/>
      </w:rPr>
    </w:lvl>
    <w:lvl w:ilvl="8">
      <w:start w:val="1"/>
      <w:numFmt w:val="decimal"/>
      <w:isLgl w:val="false"/>
      <w:suff w:val="tab"/>
      <w:lvlText w:val="%1.%2.%3.%4.%5.%6.%7.%8.%9."/>
      <w:lvlJc w:val="left"/>
      <w:pPr>
        <w:ind w:left="284" w:hanging="227"/>
        <w:tabs>
          <w:tab w:val="num" w:pos="284" w:leader="none"/>
        </w:tabs>
      </w:pPr>
      <w:rPr>
        <w:rFonts w:hint="default"/>
      </w:rPr>
    </w:lvl>
  </w:abstractNum>
  <w:abstractNum w:abstractNumId="24">
    <w:multiLevelType w:val="hybridMultilevel"/>
    <w:lvl w:ilvl="0">
      <w:start w:val="1"/>
      <w:numFmt w:val="bullet"/>
      <w:pStyle w:val="1732"/>
      <w:isLgl w:val="false"/>
      <w:suff w:val="tab"/>
      <w:lvlText w:val=""/>
      <w:lvlJc w:val="left"/>
      <w:pPr>
        <w:ind w:left="1134" w:hanging="397"/>
        <w:tabs>
          <w:tab w:val="num" w:pos="1134" w:leader="none"/>
        </w:tabs>
      </w:pPr>
      <w:rPr>
        <w:rFonts w:hint="default" w:ascii="Symbol" w:hAnsi="Symbol"/>
      </w:rPr>
    </w:lvl>
    <w:lvl w:ilvl="1">
      <w:start w:val="1"/>
      <w:numFmt w:val="bullet"/>
      <w:isLgl w:val="false"/>
      <w:suff w:val="tab"/>
      <w:lvlText w:val="o"/>
      <w:lvlJc w:val="left"/>
      <w:pPr>
        <w:ind w:left="1440" w:hanging="360"/>
        <w:tabs>
          <w:tab w:val="num" w:pos="1440" w:leader="none"/>
        </w:tabs>
      </w:pPr>
      <w:rPr>
        <w:rFonts w:hint="default" w:ascii="Courier New" w:hAnsi="Courier New"/>
      </w:rPr>
    </w:lvl>
    <w:lvl w:ilvl="2">
      <w:start w:val="1"/>
      <w:numFmt w:val="bullet"/>
      <w:isLgl w:val="false"/>
      <w:suff w:val="tab"/>
      <w:lvlText w:val=""/>
      <w:lvlJc w:val="left"/>
      <w:pPr>
        <w:ind w:left="2160" w:hanging="360"/>
        <w:tabs>
          <w:tab w:val="num" w:pos="2160" w:leader="none"/>
        </w:tabs>
      </w:pPr>
      <w:rPr>
        <w:rFonts w:hint="default" w:ascii="Wingdings" w:hAnsi="Wingdings"/>
      </w:rPr>
    </w:lvl>
    <w:lvl w:ilvl="3">
      <w:start w:val="1"/>
      <w:numFmt w:val="bullet"/>
      <w:isLgl w:val="false"/>
      <w:suff w:val="tab"/>
      <w:lvlText w:val=""/>
      <w:lvlJc w:val="left"/>
      <w:pPr>
        <w:ind w:left="2880" w:hanging="360"/>
        <w:tabs>
          <w:tab w:val="num" w:pos="2880" w:leader="none"/>
        </w:tabs>
      </w:pPr>
      <w:rPr>
        <w:rFonts w:hint="default" w:ascii="Symbol" w:hAnsi="Symbol"/>
      </w:rPr>
    </w:lvl>
    <w:lvl w:ilvl="4">
      <w:start w:val="1"/>
      <w:numFmt w:val="bullet"/>
      <w:isLgl w:val="false"/>
      <w:suff w:val="tab"/>
      <w:lvlText w:val="o"/>
      <w:lvlJc w:val="left"/>
      <w:pPr>
        <w:ind w:left="3600" w:hanging="360"/>
        <w:tabs>
          <w:tab w:val="num" w:pos="3600" w:leader="none"/>
        </w:tabs>
      </w:pPr>
      <w:rPr>
        <w:rFonts w:hint="default" w:ascii="Courier New" w:hAnsi="Courier New"/>
      </w:rPr>
    </w:lvl>
    <w:lvl w:ilvl="5">
      <w:start w:val="1"/>
      <w:numFmt w:val="bullet"/>
      <w:isLgl w:val="false"/>
      <w:suff w:val="tab"/>
      <w:lvlText w:val=""/>
      <w:lvlJc w:val="left"/>
      <w:pPr>
        <w:ind w:left="4320" w:hanging="360"/>
        <w:tabs>
          <w:tab w:val="num" w:pos="4320" w:leader="none"/>
        </w:tabs>
      </w:pPr>
      <w:rPr>
        <w:rFonts w:hint="default" w:ascii="Wingdings" w:hAnsi="Wingdings"/>
      </w:rPr>
    </w:lvl>
    <w:lvl w:ilvl="6">
      <w:start w:val="1"/>
      <w:numFmt w:val="bullet"/>
      <w:isLgl w:val="false"/>
      <w:suff w:val="tab"/>
      <w:lvlText w:val=""/>
      <w:lvlJc w:val="left"/>
      <w:pPr>
        <w:ind w:left="5040" w:hanging="360"/>
        <w:tabs>
          <w:tab w:val="num" w:pos="5040" w:leader="none"/>
        </w:tabs>
      </w:pPr>
      <w:rPr>
        <w:rFonts w:hint="default" w:ascii="Symbol" w:hAnsi="Symbol"/>
      </w:rPr>
    </w:lvl>
    <w:lvl w:ilvl="7">
      <w:start w:val="1"/>
      <w:numFmt w:val="bullet"/>
      <w:isLgl w:val="false"/>
      <w:suff w:val="tab"/>
      <w:lvlText w:val="o"/>
      <w:lvlJc w:val="left"/>
      <w:pPr>
        <w:ind w:left="5760" w:hanging="360"/>
        <w:tabs>
          <w:tab w:val="num" w:pos="5760" w:leader="none"/>
        </w:tabs>
      </w:pPr>
      <w:rPr>
        <w:rFonts w:hint="default" w:ascii="Courier New" w:hAnsi="Courier New"/>
      </w:rPr>
    </w:lvl>
    <w:lvl w:ilvl="8">
      <w:start w:val="1"/>
      <w:numFmt w:val="bullet"/>
      <w:isLgl w:val="false"/>
      <w:suff w:val="tab"/>
      <w:lvlText w:val=""/>
      <w:lvlJc w:val="left"/>
      <w:pPr>
        <w:ind w:left="6480" w:hanging="360"/>
        <w:tabs>
          <w:tab w:val="num" w:pos="6480" w:leader="none"/>
        </w:tabs>
      </w:pPr>
      <w:rPr>
        <w:rFonts w:hint="default" w:ascii="Wingdings" w:hAnsi="Wingdings"/>
      </w:rPr>
    </w:lvl>
  </w:abstractNum>
  <w:abstractNum w:abstractNumId="25">
    <w:multiLevelType w:val="hybridMultilevel"/>
    <w:lvl w:ilvl="0">
      <w:start w:val="1"/>
      <w:numFmt w:val="bullet"/>
      <w:pStyle w:val="2122"/>
      <w:isLgl w:val="false"/>
      <w:suff w:val="tab"/>
      <w:lvlText w:val="–"/>
      <w:lvlJc w:val="left"/>
      <w:pPr>
        <w:ind w:left="1755" w:hanging="360"/>
        <w:tabs>
          <w:tab w:val="num" w:pos="1755" w:leader="none"/>
        </w:tabs>
      </w:pPr>
      <w:rPr>
        <w:rFonts w:hint="default" w:ascii="Arial" w:hAnsi="Arial"/>
      </w:rPr>
    </w:lvl>
    <w:lvl w:ilvl="1">
      <w:start w:val="1"/>
      <w:numFmt w:val="lowerLetter"/>
      <w:isLgl w:val="false"/>
      <w:suff w:val="tab"/>
      <w:lvlText w:val="%2."/>
      <w:lvlJc w:val="left"/>
      <w:pPr>
        <w:ind w:left="2340" w:hanging="360"/>
        <w:tabs>
          <w:tab w:val="num" w:pos="2340" w:leader="none"/>
        </w:tabs>
      </w:pPr>
    </w:lvl>
    <w:lvl w:ilvl="2">
      <w:start w:val="1"/>
      <w:numFmt w:val="lowerRoman"/>
      <w:isLgl w:val="false"/>
      <w:suff w:val="tab"/>
      <w:lvlText w:val="%3."/>
      <w:lvlJc w:val="right"/>
      <w:pPr>
        <w:ind w:left="3060" w:hanging="180"/>
        <w:tabs>
          <w:tab w:val="num" w:pos="3060" w:leader="none"/>
        </w:tabs>
      </w:pPr>
    </w:lvl>
    <w:lvl w:ilvl="3">
      <w:start w:val="1"/>
      <w:numFmt w:val="decimal"/>
      <w:isLgl w:val="false"/>
      <w:suff w:val="tab"/>
      <w:lvlText w:val="%4."/>
      <w:lvlJc w:val="left"/>
      <w:pPr>
        <w:ind w:left="3780" w:hanging="360"/>
        <w:tabs>
          <w:tab w:val="num" w:pos="3780" w:leader="none"/>
        </w:tabs>
      </w:pPr>
    </w:lvl>
    <w:lvl w:ilvl="4">
      <w:start w:val="1"/>
      <w:numFmt w:val="lowerLetter"/>
      <w:isLgl w:val="false"/>
      <w:suff w:val="tab"/>
      <w:lvlText w:val="%5."/>
      <w:lvlJc w:val="left"/>
      <w:pPr>
        <w:ind w:left="4500" w:hanging="360"/>
        <w:tabs>
          <w:tab w:val="num" w:pos="4500" w:leader="none"/>
        </w:tabs>
      </w:pPr>
    </w:lvl>
    <w:lvl w:ilvl="5">
      <w:start w:val="1"/>
      <w:numFmt w:val="lowerRoman"/>
      <w:isLgl w:val="false"/>
      <w:suff w:val="tab"/>
      <w:lvlText w:val="%6."/>
      <w:lvlJc w:val="right"/>
      <w:pPr>
        <w:ind w:left="5220" w:hanging="180"/>
        <w:tabs>
          <w:tab w:val="num" w:pos="5220" w:leader="none"/>
        </w:tabs>
      </w:pPr>
    </w:lvl>
    <w:lvl w:ilvl="6">
      <w:start w:val="1"/>
      <w:numFmt w:val="decimal"/>
      <w:isLgl w:val="false"/>
      <w:suff w:val="tab"/>
      <w:lvlText w:val="%7."/>
      <w:lvlJc w:val="left"/>
      <w:pPr>
        <w:ind w:left="5940" w:hanging="360"/>
        <w:tabs>
          <w:tab w:val="num" w:pos="5940" w:leader="none"/>
        </w:tabs>
      </w:pPr>
    </w:lvl>
    <w:lvl w:ilvl="7">
      <w:start w:val="1"/>
      <w:numFmt w:val="lowerLetter"/>
      <w:isLgl w:val="false"/>
      <w:suff w:val="tab"/>
      <w:lvlText w:val="%8."/>
      <w:lvlJc w:val="left"/>
      <w:pPr>
        <w:ind w:left="6660" w:hanging="360"/>
        <w:tabs>
          <w:tab w:val="num" w:pos="6660" w:leader="none"/>
        </w:tabs>
      </w:pPr>
    </w:lvl>
    <w:lvl w:ilvl="8">
      <w:start w:val="1"/>
      <w:numFmt w:val="lowerRoman"/>
      <w:isLgl w:val="false"/>
      <w:suff w:val="tab"/>
      <w:lvlText w:val="%9."/>
      <w:lvlJc w:val="right"/>
      <w:pPr>
        <w:ind w:left="7380" w:hanging="180"/>
        <w:tabs>
          <w:tab w:val="num" w:pos="7380" w:leader="none"/>
        </w:tabs>
      </w:pPr>
    </w:lvl>
  </w:abstractNum>
  <w:abstractNum w:abstractNumId="26">
    <w:multiLevelType w:val="hybridMultilevel"/>
    <w:lvl w:ilvl="0">
      <w:start w:val="1"/>
      <w:numFmt w:val="decimal"/>
      <w:pStyle w:val="1648"/>
      <w:isLgl w:val="false"/>
      <w:suff w:val="tab"/>
      <w:lvlText w:val="%1)"/>
      <w:lvlJc w:val="left"/>
      <w:pPr>
        <w:ind w:left="587" w:hanging="360"/>
      </w:pPr>
      <w:rPr>
        <w:rFonts w:hint="default" w:ascii="Times New Roman" w:hAnsi="Times New Roman" w:cs="Times New Roman"/>
        <w:b w:val="0"/>
        <w:bCs w:val="0"/>
        <w:i w:val="0"/>
        <w:iCs w:val="0"/>
        <w:caps w:val="0"/>
        <w:smallCaps w:val="0"/>
        <w:strike w:val="0"/>
        <w:vanish w:val="0"/>
        <w:color w:val="000000"/>
        <w:spacing w:val="0"/>
        <w:position w:val="0"/>
        <w:sz w:val="20"/>
        <w:u w:val="none"/>
        <w:vertAlign w:val="baseline"/>
      </w:rPr>
    </w:lvl>
    <w:lvl w:ilvl="1">
      <w:start w:val="1"/>
      <w:numFmt w:val="lowerLetter"/>
      <w:isLgl w:val="false"/>
      <w:suff w:val="tab"/>
      <w:lvlText w:val="%2."/>
      <w:lvlJc w:val="left"/>
      <w:pPr>
        <w:ind w:left="1307" w:hanging="360"/>
      </w:pPr>
    </w:lvl>
    <w:lvl w:ilvl="2">
      <w:start w:val="1"/>
      <w:numFmt w:val="lowerRoman"/>
      <w:isLgl w:val="false"/>
      <w:suff w:val="tab"/>
      <w:lvlText w:val="%3."/>
      <w:lvlJc w:val="right"/>
      <w:pPr>
        <w:ind w:left="2027" w:hanging="180"/>
      </w:pPr>
    </w:lvl>
    <w:lvl w:ilvl="3">
      <w:start w:val="1"/>
      <w:numFmt w:val="decimal"/>
      <w:isLgl w:val="false"/>
      <w:suff w:val="tab"/>
      <w:lvlText w:val="%4."/>
      <w:lvlJc w:val="left"/>
      <w:pPr>
        <w:ind w:left="2747" w:hanging="360"/>
      </w:pPr>
    </w:lvl>
    <w:lvl w:ilvl="4">
      <w:start w:val="1"/>
      <w:numFmt w:val="lowerLetter"/>
      <w:isLgl w:val="false"/>
      <w:suff w:val="tab"/>
      <w:lvlText w:val="%5."/>
      <w:lvlJc w:val="left"/>
      <w:pPr>
        <w:ind w:left="3467" w:hanging="360"/>
      </w:pPr>
    </w:lvl>
    <w:lvl w:ilvl="5">
      <w:start w:val="1"/>
      <w:numFmt w:val="lowerRoman"/>
      <w:isLgl w:val="false"/>
      <w:suff w:val="tab"/>
      <w:lvlText w:val="%6."/>
      <w:lvlJc w:val="right"/>
      <w:pPr>
        <w:ind w:left="4187" w:hanging="180"/>
      </w:pPr>
    </w:lvl>
    <w:lvl w:ilvl="6">
      <w:start w:val="1"/>
      <w:numFmt w:val="decimal"/>
      <w:isLgl w:val="false"/>
      <w:suff w:val="tab"/>
      <w:lvlText w:val="%7."/>
      <w:lvlJc w:val="left"/>
      <w:pPr>
        <w:ind w:left="4907" w:hanging="360"/>
      </w:pPr>
    </w:lvl>
    <w:lvl w:ilvl="7">
      <w:start w:val="1"/>
      <w:numFmt w:val="lowerLetter"/>
      <w:isLgl w:val="false"/>
      <w:suff w:val="tab"/>
      <w:lvlText w:val="%8."/>
      <w:lvlJc w:val="left"/>
      <w:pPr>
        <w:ind w:left="5627" w:hanging="360"/>
      </w:pPr>
    </w:lvl>
    <w:lvl w:ilvl="8">
      <w:start w:val="1"/>
      <w:numFmt w:val="lowerRoman"/>
      <w:isLgl w:val="false"/>
      <w:suff w:val="tab"/>
      <w:lvlText w:val="%9."/>
      <w:lvlJc w:val="right"/>
      <w:pPr>
        <w:ind w:left="6347" w:hanging="180"/>
      </w:pPr>
    </w:lvl>
  </w:abstractNum>
  <w:abstractNum w:abstractNumId="27">
    <w:multiLevelType w:val="hybridMultilevel"/>
    <w:lvl w:ilvl="0">
      <w:start w:val="1"/>
      <w:numFmt w:val="bullet"/>
      <w:pStyle w:val="1840"/>
      <w:isLgl w:val="false"/>
      <w:suff w:val="tab"/>
      <w:lvlText w:val=""/>
      <w:lvlJc w:val="left"/>
      <w:pPr>
        <w:ind w:left="284" w:firstLine="0"/>
        <w:tabs>
          <w:tab w:val="num" w:pos="284" w:leader="none"/>
        </w:tabs>
      </w:pPr>
      <w:rPr>
        <w:rFonts w:hint="default" w:ascii="Symbol" w:hAnsi="Symbol"/>
        <w:lang w:val="ru-RU"/>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8">
    <w:multiLevelType w:val="hybridMultilevel"/>
    <w:lvl w:ilvl="0">
      <w:start w:val="1"/>
      <w:numFmt w:val="decimal"/>
      <w:pStyle w:val="1902"/>
      <w:isLgl w:val="false"/>
      <w:suff w:val="tab"/>
      <w:lvlText w:val="%1)"/>
      <w:lvlJc w:val="left"/>
      <w:pPr>
        <w:ind w:left="1134" w:hanging="425"/>
        <w:tabs>
          <w:tab w:val="num" w:pos="1134" w:leader="none"/>
        </w:tabs>
      </w:pPr>
      <w:rPr>
        <w:rFonts w:hint="default"/>
      </w:r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29">
    <w:multiLevelType w:val="hybridMultilevel"/>
    <w:lvl w:ilvl="0">
      <w:start w:val="1"/>
      <w:numFmt w:val="decimal"/>
      <w:pStyle w:val="2124"/>
      <w:isLgl w:val="false"/>
      <w:suff w:val="tab"/>
      <w:lvlText w:val="%1)"/>
      <w:lvlJc w:val="left"/>
      <w:pPr>
        <w:ind w:left="720" w:hanging="360"/>
        <w:tabs>
          <w:tab w:val="num" w:pos="720" w:leader="none"/>
        </w:tabs>
      </w:pPr>
      <w:rPr>
        <w:rFonts w:hint="default"/>
      </w:rPr>
    </w:lvl>
    <w:lvl w:ilvl="1">
      <w:start w:val="1"/>
      <w:numFmt w:val="decimal"/>
      <w:isLgl w:val="false"/>
      <w:suff w:val="tab"/>
      <w:lvlText w:val="%2)"/>
      <w:lvlJc w:val="left"/>
      <w:pPr>
        <w:ind w:left="1080" w:hanging="360"/>
        <w:tabs>
          <w:tab w:val="num" w:pos="1080" w:leader="none"/>
        </w:tabs>
      </w:pPr>
      <w:rPr>
        <w:rFonts w:hint="default"/>
      </w:rPr>
    </w:lvl>
    <w:lvl w:ilvl="2">
      <w:start w:val="1"/>
      <w:numFmt w:val="lowerRoman"/>
      <w:isLgl w:val="false"/>
      <w:suff w:val="tab"/>
      <w:lvlText w:val="%3)"/>
      <w:lvlJc w:val="left"/>
      <w:pPr>
        <w:ind w:left="1440" w:hanging="360"/>
        <w:tabs>
          <w:tab w:val="num" w:pos="1440" w:leader="none"/>
        </w:tabs>
      </w:pPr>
      <w:rPr>
        <w:rFonts w:hint="default"/>
      </w:rPr>
    </w:lvl>
    <w:lvl w:ilvl="3">
      <w:start w:val="1"/>
      <w:numFmt w:val="decimal"/>
      <w:isLgl w:val="false"/>
      <w:suff w:val="tab"/>
      <w:lvlText w:val="(%4)"/>
      <w:lvlJc w:val="left"/>
      <w:pPr>
        <w:ind w:left="1800" w:hanging="360"/>
        <w:tabs>
          <w:tab w:val="num" w:pos="1800" w:leader="none"/>
        </w:tabs>
      </w:pPr>
      <w:rPr>
        <w:rFonts w:hint="default"/>
      </w:rPr>
    </w:lvl>
    <w:lvl w:ilvl="4">
      <w:start w:val="1"/>
      <w:numFmt w:val="lowerLetter"/>
      <w:isLgl w:val="false"/>
      <w:suff w:val="tab"/>
      <w:lvlText w:val="(%5)"/>
      <w:lvlJc w:val="left"/>
      <w:pPr>
        <w:ind w:left="2160" w:hanging="360"/>
        <w:tabs>
          <w:tab w:val="num" w:pos="2160" w:leader="none"/>
        </w:tabs>
      </w:pPr>
      <w:rPr>
        <w:rFonts w:hint="default"/>
      </w:rPr>
    </w:lvl>
    <w:lvl w:ilvl="5">
      <w:start w:val="1"/>
      <w:numFmt w:val="lowerRoman"/>
      <w:isLgl w:val="false"/>
      <w:suff w:val="tab"/>
      <w:lvlText w:val="(%6)"/>
      <w:lvlJc w:val="left"/>
      <w:pPr>
        <w:ind w:left="2520" w:hanging="360"/>
        <w:tabs>
          <w:tab w:val="num" w:pos="2520" w:leader="none"/>
        </w:tabs>
      </w:pPr>
      <w:rPr>
        <w:rFonts w:hint="default"/>
      </w:rPr>
    </w:lvl>
    <w:lvl w:ilvl="6">
      <w:start w:val="1"/>
      <w:numFmt w:val="decimal"/>
      <w:isLgl w:val="false"/>
      <w:suff w:val="tab"/>
      <w:lvlText w:val="%7."/>
      <w:lvlJc w:val="left"/>
      <w:pPr>
        <w:ind w:left="2880" w:hanging="360"/>
        <w:tabs>
          <w:tab w:val="num" w:pos="2880" w:leader="none"/>
        </w:tabs>
      </w:pPr>
      <w:rPr>
        <w:rFonts w:hint="default"/>
      </w:rPr>
    </w:lvl>
    <w:lvl w:ilvl="7">
      <w:start w:val="1"/>
      <w:numFmt w:val="lowerLetter"/>
      <w:isLgl w:val="false"/>
      <w:suff w:val="tab"/>
      <w:lvlText w:val="%8."/>
      <w:lvlJc w:val="left"/>
      <w:pPr>
        <w:ind w:left="3240" w:hanging="360"/>
        <w:tabs>
          <w:tab w:val="num" w:pos="3240" w:leader="none"/>
        </w:tabs>
      </w:pPr>
      <w:rPr>
        <w:rFonts w:hint="default"/>
      </w:rPr>
    </w:lvl>
    <w:lvl w:ilvl="8">
      <w:start w:val="1"/>
      <w:numFmt w:val="lowerRoman"/>
      <w:isLgl w:val="false"/>
      <w:suff w:val="tab"/>
      <w:lvlText w:val="%9."/>
      <w:lvlJc w:val="left"/>
      <w:pPr>
        <w:ind w:left="3600" w:hanging="360"/>
        <w:tabs>
          <w:tab w:val="num" w:pos="3600" w:leader="none"/>
        </w:tabs>
      </w:pPr>
      <w:rPr>
        <w:rFonts w:hint="default"/>
      </w:rPr>
    </w:lvl>
  </w:abstractNum>
  <w:abstractNum w:abstractNumId="30">
    <w:multiLevelType w:val="hybridMultilevel"/>
    <w:lvl w:ilvl="0">
      <w:start w:val="1"/>
      <w:numFmt w:val="bullet"/>
      <w:pStyle w:val="1955"/>
      <w:isLgl w:val="false"/>
      <w:suff w:val="tab"/>
      <w:lvlText w:val="-"/>
      <w:lvlJc w:val="left"/>
      <w:pPr>
        <w:ind w:left="1276" w:hanging="283"/>
        <w:tabs>
          <w:tab w:val="num" w:pos="1276" w:leader="none"/>
        </w:tabs>
      </w:pPr>
      <w:rPr>
        <w:rFonts w:hint="default" w:ascii="Courier New" w:hAnsi="Courier New"/>
      </w:rPr>
    </w:lvl>
    <w:lvl w:ilvl="1">
      <w:start w:val="1"/>
      <w:numFmt w:val="bullet"/>
      <w:isLgl w:val="false"/>
      <w:suff w:val="tab"/>
      <w:lvlText w:val="o"/>
      <w:lvlJc w:val="left"/>
      <w:pPr>
        <w:ind w:left="2149" w:hanging="360"/>
        <w:tabs>
          <w:tab w:val="num" w:pos="2149" w:leader="none"/>
        </w:tabs>
      </w:pPr>
      <w:rPr>
        <w:rFonts w:hint="default" w:ascii="Courier New" w:hAnsi="Courier New" w:cs="Courier New"/>
      </w:rPr>
    </w:lvl>
    <w:lvl w:ilvl="2">
      <w:start w:val="1"/>
      <w:numFmt w:val="bullet"/>
      <w:isLgl w:val="false"/>
      <w:suff w:val="tab"/>
      <w:lvlText w:val=""/>
      <w:lvlJc w:val="left"/>
      <w:pPr>
        <w:ind w:left="2869" w:hanging="360"/>
        <w:tabs>
          <w:tab w:val="num" w:pos="2869" w:leader="none"/>
        </w:tabs>
      </w:pPr>
      <w:rPr>
        <w:rFonts w:hint="default" w:ascii="Wingdings" w:hAnsi="Wingdings"/>
      </w:rPr>
    </w:lvl>
    <w:lvl w:ilvl="3">
      <w:start w:val="1"/>
      <w:numFmt w:val="bullet"/>
      <w:isLgl w:val="false"/>
      <w:suff w:val="tab"/>
      <w:lvlText w:val=""/>
      <w:lvlJc w:val="left"/>
      <w:pPr>
        <w:ind w:left="3589" w:hanging="360"/>
        <w:tabs>
          <w:tab w:val="num" w:pos="3589" w:leader="none"/>
        </w:tabs>
      </w:pPr>
      <w:rPr>
        <w:rFonts w:hint="default" w:ascii="Symbol" w:hAnsi="Symbol"/>
      </w:rPr>
    </w:lvl>
    <w:lvl w:ilvl="4">
      <w:start w:val="1"/>
      <w:numFmt w:val="bullet"/>
      <w:isLgl w:val="false"/>
      <w:suff w:val="tab"/>
      <w:lvlText w:val="o"/>
      <w:lvlJc w:val="left"/>
      <w:pPr>
        <w:ind w:left="4309" w:hanging="360"/>
        <w:tabs>
          <w:tab w:val="num" w:pos="4309" w:leader="none"/>
        </w:tabs>
      </w:pPr>
      <w:rPr>
        <w:rFonts w:hint="default" w:ascii="Courier New" w:hAnsi="Courier New" w:cs="Courier New"/>
      </w:rPr>
    </w:lvl>
    <w:lvl w:ilvl="5">
      <w:start w:val="1"/>
      <w:numFmt w:val="bullet"/>
      <w:isLgl w:val="false"/>
      <w:suff w:val="tab"/>
      <w:lvlText w:val=""/>
      <w:lvlJc w:val="left"/>
      <w:pPr>
        <w:ind w:left="5029" w:hanging="360"/>
        <w:tabs>
          <w:tab w:val="num" w:pos="5029" w:leader="none"/>
        </w:tabs>
      </w:pPr>
      <w:rPr>
        <w:rFonts w:hint="default" w:ascii="Wingdings" w:hAnsi="Wingdings"/>
      </w:rPr>
    </w:lvl>
    <w:lvl w:ilvl="6">
      <w:start w:val="1"/>
      <w:numFmt w:val="bullet"/>
      <w:isLgl w:val="false"/>
      <w:suff w:val="tab"/>
      <w:lvlText w:val=""/>
      <w:lvlJc w:val="left"/>
      <w:pPr>
        <w:ind w:left="5749" w:hanging="360"/>
        <w:tabs>
          <w:tab w:val="num" w:pos="5749" w:leader="none"/>
        </w:tabs>
      </w:pPr>
      <w:rPr>
        <w:rFonts w:hint="default" w:ascii="Symbol" w:hAnsi="Symbol"/>
      </w:rPr>
    </w:lvl>
    <w:lvl w:ilvl="7">
      <w:start w:val="1"/>
      <w:numFmt w:val="bullet"/>
      <w:isLgl w:val="false"/>
      <w:suff w:val="tab"/>
      <w:lvlText w:val="o"/>
      <w:lvlJc w:val="left"/>
      <w:pPr>
        <w:ind w:left="6469" w:hanging="360"/>
        <w:tabs>
          <w:tab w:val="num" w:pos="6469" w:leader="none"/>
        </w:tabs>
      </w:pPr>
      <w:rPr>
        <w:rFonts w:hint="default" w:ascii="Courier New" w:hAnsi="Courier New" w:cs="Courier New"/>
      </w:rPr>
    </w:lvl>
    <w:lvl w:ilvl="8">
      <w:start w:val="1"/>
      <w:numFmt w:val="bullet"/>
      <w:isLgl w:val="false"/>
      <w:suff w:val="tab"/>
      <w:lvlText w:val=""/>
      <w:lvlJc w:val="left"/>
      <w:pPr>
        <w:ind w:left="7189" w:hanging="360"/>
        <w:tabs>
          <w:tab w:val="num" w:pos="7189" w:leader="none"/>
        </w:tabs>
      </w:pPr>
      <w:rPr>
        <w:rFonts w:hint="default" w:ascii="Wingdings" w:hAnsi="Wingdings"/>
      </w:rPr>
    </w:lvl>
  </w:abstractNum>
  <w:abstractNum w:abstractNumId="31">
    <w:multiLevelType w:val="hybridMultilevel"/>
    <w:lvl w:ilvl="0">
      <w:start w:val="1"/>
      <w:numFmt w:val="decimal"/>
      <w:pStyle w:val="2047"/>
      <w:isLgl w:val="false"/>
      <w:suff w:val="tab"/>
      <w:lvlText w:val="E3.%1."/>
      <w:lvlJc w:val="left"/>
      <w:pPr>
        <w:ind w:left="417" w:hanging="360"/>
      </w:pPr>
      <w:rPr>
        <w:rFonts w:hint="default" w:ascii="Times New Roman" w:hAnsi="Times New Roman" w:cs="Times New Roman"/>
        <w:b w:val="0"/>
        <w:bCs w:val="0"/>
        <w:i w:val="0"/>
        <w:iCs w:val="0"/>
        <w:caps w:val="0"/>
        <w:smallCaps w:val="0"/>
        <w:strike w:val="0"/>
        <w:vanish w:val="0"/>
        <w:color w:val="000000"/>
        <w:spacing w:val="0"/>
        <w:position w:val="0"/>
        <w:sz w:val="24"/>
        <w:szCs w:val="24"/>
        <w:u w:val="none"/>
        <w:vertAlign w:val="baseline"/>
      </w:rPr>
    </w:lvl>
    <w:lvl w:ilvl="1">
      <w:start w:val="1"/>
      <w:numFmt w:val="lowerLetter"/>
      <w:isLgl w:val="false"/>
      <w:suff w:val="tab"/>
      <w:lvlText w:val="%2."/>
      <w:lvlJc w:val="left"/>
      <w:pPr>
        <w:ind w:left="1800" w:hanging="360"/>
      </w:pPr>
      <w:rPr>
        <w:rFonts w:cs="Times New Roman"/>
      </w:rPr>
    </w:lvl>
    <w:lvl w:ilvl="2">
      <w:start w:val="1"/>
      <w:numFmt w:val="lowerRoman"/>
      <w:isLgl w:val="false"/>
      <w:suff w:val="tab"/>
      <w:lvlText w:val="%3."/>
      <w:lvlJc w:val="right"/>
      <w:pPr>
        <w:ind w:left="2520" w:hanging="180"/>
      </w:pPr>
      <w:rPr>
        <w:rFonts w:cs="Times New Roman"/>
      </w:rPr>
    </w:lvl>
    <w:lvl w:ilvl="3">
      <w:start w:val="1"/>
      <w:numFmt w:val="decimal"/>
      <w:isLgl w:val="false"/>
      <w:suff w:val="tab"/>
      <w:lvlText w:val="%4."/>
      <w:lvlJc w:val="left"/>
      <w:pPr>
        <w:ind w:left="3240" w:hanging="360"/>
      </w:pPr>
      <w:rPr>
        <w:rFonts w:cs="Times New Roman"/>
      </w:rPr>
    </w:lvl>
    <w:lvl w:ilvl="4">
      <w:start w:val="1"/>
      <w:numFmt w:val="lowerLetter"/>
      <w:isLgl w:val="false"/>
      <w:suff w:val="tab"/>
      <w:lvlText w:val="%5."/>
      <w:lvlJc w:val="left"/>
      <w:pPr>
        <w:ind w:left="3960" w:hanging="360"/>
      </w:pPr>
      <w:rPr>
        <w:rFonts w:cs="Times New Roman"/>
      </w:rPr>
    </w:lvl>
    <w:lvl w:ilvl="5">
      <w:start w:val="1"/>
      <w:numFmt w:val="lowerRoman"/>
      <w:isLgl w:val="false"/>
      <w:suff w:val="tab"/>
      <w:lvlText w:val="%6."/>
      <w:lvlJc w:val="right"/>
      <w:pPr>
        <w:ind w:left="4680" w:hanging="180"/>
      </w:pPr>
      <w:rPr>
        <w:rFonts w:cs="Times New Roman"/>
      </w:rPr>
    </w:lvl>
    <w:lvl w:ilvl="6">
      <w:start w:val="1"/>
      <w:numFmt w:val="decimal"/>
      <w:isLgl w:val="false"/>
      <w:suff w:val="tab"/>
      <w:lvlText w:val="%7."/>
      <w:lvlJc w:val="left"/>
      <w:pPr>
        <w:ind w:left="5400" w:hanging="360"/>
      </w:pPr>
      <w:rPr>
        <w:rFonts w:cs="Times New Roman"/>
      </w:rPr>
    </w:lvl>
    <w:lvl w:ilvl="7">
      <w:start w:val="1"/>
      <w:numFmt w:val="lowerLetter"/>
      <w:isLgl w:val="false"/>
      <w:suff w:val="tab"/>
      <w:lvlText w:val="%8."/>
      <w:lvlJc w:val="left"/>
      <w:pPr>
        <w:ind w:left="6120" w:hanging="360"/>
      </w:pPr>
      <w:rPr>
        <w:rFonts w:cs="Times New Roman"/>
      </w:rPr>
    </w:lvl>
    <w:lvl w:ilvl="8">
      <w:start w:val="1"/>
      <w:numFmt w:val="lowerRoman"/>
      <w:isLgl w:val="false"/>
      <w:suff w:val="tab"/>
      <w:lvlText w:val="%9."/>
      <w:lvlJc w:val="right"/>
      <w:pPr>
        <w:ind w:left="6840" w:hanging="180"/>
      </w:pPr>
      <w:rPr>
        <w:rFonts w:cs="Times New Roman"/>
      </w:rPr>
    </w:lvl>
  </w:abstractNum>
  <w:abstractNum w:abstractNumId="32">
    <w:multiLevelType w:val="hybridMultilevel"/>
    <w:lvl w:ilvl="0">
      <w:start w:val="1"/>
      <w:numFmt w:val="decimal"/>
      <w:pStyle w:val="2268"/>
      <w:isLgl w:val="false"/>
      <w:suff w:val="nothing"/>
      <w:lvlText w:val="Категория %1."/>
      <w:lvlJc w:val="left"/>
      <w:pPr>
        <w:ind w:left="360" w:hanging="360"/>
      </w:pPr>
      <w:rPr>
        <w:rFonts w:hint="default" w:cs="Times New Roman"/>
      </w:rPr>
    </w:lvl>
    <w:lvl w:ilvl="1">
      <w:start w:val="1"/>
      <w:numFmt w:val="decimal"/>
      <w:isLgl w:val="false"/>
      <w:suff w:val="nothing"/>
      <w:lvlText w:val="Тест %1.%2."/>
      <w:lvlJc w:val="left"/>
      <w:pPr/>
      <w:rPr>
        <w:rFonts w:hint="default" w:cs="Times New Roman"/>
      </w:rPr>
    </w:lvl>
    <w:lvl w:ilvl="2">
      <w:start w:val="1"/>
      <w:numFmt w:val="lowerRoman"/>
      <w:isLgl w:val="false"/>
      <w:suff w:val="tab"/>
      <w:lvlText w:val="%3)"/>
      <w:lvlJc w:val="left"/>
      <w:pPr>
        <w:ind w:left="1080" w:hanging="360"/>
        <w:tabs>
          <w:tab w:val="num" w:pos="1080" w:leader="none"/>
        </w:tabs>
      </w:pPr>
      <w:rPr>
        <w:rFonts w:hint="default" w:cs="Times New Roman"/>
      </w:rPr>
    </w:lvl>
    <w:lvl w:ilvl="3">
      <w:start w:val="1"/>
      <w:numFmt w:val="decimal"/>
      <w:isLgl w:val="false"/>
      <w:suff w:val="tab"/>
      <w:lvlText w:val="(%4)"/>
      <w:lvlJc w:val="left"/>
      <w:pPr>
        <w:ind w:left="1440" w:hanging="360"/>
        <w:tabs>
          <w:tab w:val="num" w:pos="1440" w:leader="none"/>
        </w:tabs>
      </w:pPr>
      <w:rPr>
        <w:rFonts w:hint="default" w:cs="Times New Roman"/>
      </w:rPr>
    </w:lvl>
    <w:lvl w:ilvl="4">
      <w:start w:val="1"/>
      <w:numFmt w:val="lowerLetter"/>
      <w:isLgl w:val="false"/>
      <w:suff w:val="tab"/>
      <w:lvlText w:val="(%5)"/>
      <w:lvlJc w:val="left"/>
      <w:pPr>
        <w:ind w:left="1800" w:hanging="360"/>
        <w:tabs>
          <w:tab w:val="num" w:pos="1800" w:leader="none"/>
        </w:tabs>
      </w:pPr>
      <w:rPr>
        <w:rFonts w:hint="default" w:cs="Times New Roman"/>
      </w:rPr>
    </w:lvl>
    <w:lvl w:ilvl="5">
      <w:start w:val="1"/>
      <w:numFmt w:val="lowerRoman"/>
      <w:isLgl w:val="false"/>
      <w:suff w:val="tab"/>
      <w:lvlText w:val="(%6)"/>
      <w:lvlJc w:val="left"/>
      <w:pPr>
        <w:ind w:left="2160" w:hanging="360"/>
        <w:tabs>
          <w:tab w:val="num" w:pos="2160" w:leader="none"/>
        </w:tabs>
      </w:pPr>
      <w:rPr>
        <w:rFonts w:hint="default" w:cs="Times New Roman"/>
      </w:rPr>
    </w:lvl>
    <w:lvl w:ilvl="6">
      <w:start w:val="1"/>
      <w:numFmt w:val="decimal"/>
      <w:isLgl w:val="false"/>
      <w:suff w:val="tab"/>
      <w:lvlText w:val="%7."/>
      <w:lvlJc w:val="left"/>
      <w:pPr>
        <w:ind w:left="2520" w:hanging="360"/>
        <w:tabs>
          <w:tab w:val="num" w:pos="2520" w:leader="none"/>
        </w:tabs>
      </w:pPr>
      <w:rPr>
        <w:rFonts w:hint="default" w:cs="Times New Roman"/>
      </w:rPr>
    </w:lvl>
    <w:lvl w:ilvl="7">
      <w:start w:val="1"/>
      <w:numFmt w:val="lowerLetter"/>
      <w:isLgl w:val="false"/>
      <w:suff w:val="tab"/>
      <w:lvlText w:val="%8."/>
      <w:lvlJc w:val="left"/>
      <w:pPr>
        <w:ind w:left="2880" w:hanging="360"/>
        <w:tabs>
          <w:tab w:val="num" w:pos="2880" w:leader="none"/>
        </w:tabs>
      </w:pPr>
      <w:rPr>
        <w:rFonts w:hint="default" w:cs="Times New Roman"/>
      </w:rPr>
    </w:lvl>
    <w:lvl w:ilvl="8">
      <w:start w:val="1"/>
      <w:numFmt w:val="lowerRoman"/>
      <w:isLgl w:val="false"/>
      <w:suff w:val="tab"/>
      <w:lvlText w:val="%9."/>
      <w:lvlJc w:val="left"/>
      <w:pPr>
        <w:ind w:left="3240" w:hanging="360"/>
        <w:tabs>
          <w:tab w:val="num" w:pos="3240" w:leader="none"/>
        </w:tabs>
      </w:pPr>
      <w:rPr>
        <w:rFonts w:hint="default" w:cs="Times New Roman"/>
      </w:rPr>
    </w:lvl>
  </w:abstractNum>
  <w:abstractNum w:abstractNumId="33">
    <w:multiLevelType w:val="hybridMultilevel"/>
    <w:lvl w:ilvl="0">
      <w:start w:val="1"/>
      <w:numFmt w:val="decimal"/>
      <w:pStyle w:val="2033"/>
      <w:isLgl w:val="false"/>
      <w:suff w:val="tab"/>
      <w:lvlText w:val="A1.%1."/>
      <w:lvlJc w:val="left"/>
      <w:pPr>
        <w:ind w:left="360" w:hanging="360"/>
      </w:pPr>
      <w:rPr>
        <w:rFonts w:hint="default" w:ascii="Times New Roman" w:hAnsi="Times New Roman" w:cs="Times New Roman"/>
        <w:b w:val="0"/>
        <w:bCs w:val="0"/>
        <w:i w:val="0"/>
        <w:iCs w:val="0"/>
        <w:caps w:val="0"/>
        <w:smallCaps w:val="0"/>
        <w:strike w:val="0"/>
        <w:vanish w:val="0"/>
        <w:color w:val="000000"/>
        <w:spacing w:val="0"/>
        <w:position w:val="0"/>
        <w:sz w:val="24"/>
        <w:szCs w:val="24"/>
        <w:u w:val="none"/>
        <w:vertAlign w:val="baseline"/>
      </w:rPr>
    </w:lvl>
    <w:lvl w:ilvl="1">
      <w:start w:val="1"/>
      <w:numFmt w:val="lowerLetter"/>
      <w:isLgl w:val="false"/>
      <w:suff w:val="tab"/>
      <w:lvlText w:val="%2."/>
      <w:lvlJc w:val="left"/>
      <w:pPr>
        <w:ind w:left="1080" w:hanging="360"/>
      </w:pPr>
      <w:rPr>
        <w:rFonts w:cs="Times New Roman"/>
      </w:rPr>
    </w:lvl>
    <w:lvl w:ilvl="2">
      <w:start w:val="1"/>
      <w:numFmt w:val="lowerRoman"/>
      <w:isLgl w:val="false"/>
      <w:suff w:val="tab"/>
      <w:lvlText w:val="%3."/>
      <w:lvlJc w:val="right"/>
      <w:pPr>
        <w:ind w:left="1800" w:hanging="180"/>
      </w:pPr>
      <w:rPr>
        <w:rFonts w:cs="Times New Roman"/>
      </w:rPr>
    </w:lvl>
    <w:lvl w:ilvl="3">
      <w:start w:val="1"/>
      <w:numFmt w:val="decimal"/>
      <w:isLgl w:val="false"/>
      <w:suff w:val="tab"/>
      <w:lvlText w:val="%4."/>
      <w:lvlJc w:val="left"/>
      <w:pPr>
        <w:ind w:left="2520" w:hanging="360"/>
      </w:pPr>
      <w:rPr>
        <w:rFonts w:cs="Times New Roman"/>
      </w:rPr>
    </w:lvl>
    <w:lvl w:ilvl="4">
      <w:start w:val="1"/>
      <w:numFmt w:val="lowerLetter"/>
      <w:isLgl w:val="false"/>
      <w:suff w:val="tab"/>
      <w:lvlText w:val="%5."/>
      <w:lvlJc w:val="left"/>
      <w:pPr>
        <w:ind w:left="3240" w:hanging="360"/>
      </w:pPr>
      <w:rPr>
        <w:rFonts w:cs="Times New Roman"/>
      </w:rPr>
    </w:lvl>
    <w:lvl w:ilvl="5">
      <w:start w:val="1"/>
      <w:numFmt w:val="lowerRoman"/>
      <w:isLgl w:val="false"/>
      <w:suff w:val="tab"/>
      <w:lvlText w:val="%6."/>
      <w:lvlJc w:val="right"/>
      <w:pPr>
        <w:ind w:left="3960" w:hanging="180"/>
      </w:pPr>
      <w:rPr>
        <w:rFonts w:cs="Times New Roman"/>
      </w:rPr>
    </w:lvl>
    <w:lvl w:ilvl="6">
      <w:start w:val="1"/>
      <w:numFmt w:val="decimal"/>
      <w:isLgl w:val="false"/>
      <w:suff w:val="tab"/>
      <w:lvlText w:val="%7."/>
      <w:lvlJc w:val="left"/>
      <w:pPr>
        <w:ind w:left="4680" w:hanging="360"/>
      </w:pPr>
      <w:rPr>
        <w:rFonts w:cs="Times New Roman"/>
      </w:rPr>
    </w:lvl>
    <w:lvl w:ilvl="7">
      <w:start w:val="1"/>
      <w:numFmt w:val="lowerLetter"/>
      <w:isLgl w:val="false"/>
      <w:suff w:val="tab"/>
      <w:lvlText w:val="%8."/>
      <w:lvlJc w:val="left"/>
      <w:pPr>
        <w:ind w:left="5400" w:hanging="360"/>
      </w:pPr>
      <w:rPr>
        <w:rFonts w:cs="Times New Roman"/>
      </w:rPr>
    </w:lvl>
    <w:lvl w:ilvl="8">
      <w:start w:val="1"/>
      <w:numFmt w:val="lowerRoman"/>
      <w:isLgl w:val="false"/>
      <w:suff w:val="tab"/>
      <w:lvlText w:val="%9."/>
      <w:lvlJc w:val="right"/>
      <w:pPr>
        <w:ind w:left="6120" w:hanging="180"/>
      </w:pPr>
      <w:rPr>
        <w:rFonts w:cs="Times New Roman"/>
      </w:rPr>
    </w:lvl>
  </w:abstractNum>
  <w:abstractNum w:abstractNumId="34">
    <w:multiLevelType w:val="hybridMultilevel"/>
    <w:lvl w:ilvl="0">
      <w:start w:val="1"/>
      <w:numFmt w:val="bullet"/>
      <w:pStyle w:val="1683"/>
      <w:isLgl w:val="false"/>
      <w:suff w:val="tab"/>
      <w:lvlText w:val=""/>
      <w:lvlJc w:val="left"/>
      <w:pPr>
        <w:ind w:left="992" w:hanging="283"/>
        <w:tabs>
          <w:tab w:val="num" w:pos="992" w:leader="none"/>
        </w:tabs>
      </w:pPr>
      <w:rPr>
        <w:rFonts w:hint="default" w:ascii="Symbol" w:hAnsi="Symbol"/>
      </w:rPr>
    </w:lvl>
    <w:lvl w:ilvl="1">
      <w:start w:val="1"/>
      <w:numFmt w:val="bullet"/>
      <w:isLgl w:val="false"/>
      <w:suff w:val="tab"/>
      <w:lvlText w:val="–"/>
      <w:lvlJc w:val="left"/>
      <w:pPr>
        <w:ind w:left="1276" w:hanging="284"/>
        <w:tabs>
          <w:tab w:val="num" w:pos="1276" w:leader="none"/>
        </w:tabs>
      </w:pPr>
      <w:rPr>
        <w:rFonts w:hint="default" w:ascii="Arial" w:hAnsi="Arial"/>
      </w:rPr>
    </w:lvl>
    <w:lvl w:ilvl="2">
      <w:start w:val="1"/>
      <w:numFmt w:val="bullet"/>
      <w:isLgl w:val="false"/>
      <w:suff w:val="tab"/>
      <w:lvlText w:val=""/>
      <w:lvlJc w:val="left"/>
      <w:pPr>
        <w:ind w:left="1559" w:hanging="283"/>
        <w:tabs>
          <w:tab w:val="num" w:pos="1559" w:leader="none"/>
        </w:tabs>
      </w:pPr>
      <w:rPr>
        <w:rFonts w:hint="default" w:ascii="Wingdings" w:hAnsi="Wingdings"/>
      </w:rPr>
    </w:lvl>
    <w:lvl w:ilvl="3">
      <w:start w:val="1"/>
      <w:numFmt w:val="bullet"/>
      <w:isLgl w:val="false"/>
      <w:suff w:val="tab"/>
      <w:lvlText w:val=""/>
      <w:lvlJc w:val="left"/>
      <w:pPr>
        <w:ind w:left="1440" w:hanging="360"/>
        <w:tabs>
          <w:tab w:val="num" w:pos="1440" w:leader="none"/>
        </w:tabs>
      </w:pPr>
      <w:rPr>
        <w:rFonts w:hint="default" w:ascii="Symbol" w:hAnsi="Symbol"/>
      </w:rPr>
    </w:lvl>
    <w:lvl w:ilvl="4">
      <w:start w:val="1"/>
      <w:numFmt w:val="bullet"/>
      <w:isLgl w:val="false"/>
      <w:suff w:val="tab"/>
      <w:lvlText w:val=""/>
      <w:lvlJc w:val="left"/>
      <w:pPr>
        <w:ind w:left="1800" w:hanging="360"/>
        <w:tabs>
          <w:tab w:val="num" w:pos="1800" w:leader="none"/>
        </w:tabs>
      </w:pPr>
      <w:rPr>
        <w:rFonts w:hint="default" w:ascii="Symbol" w:hAnsi="Symbol"/>
      </w:rPr>
    </w:lvl>
    <w:lvl w:ilvl="5">
      <w:start w:val="1"/>
      <w:numFmt w:val="bullet"/>
      <w:isLgl w:val="false"/>
      <w:suff w:val="tab"/>
      <w:lvlText w:val=""/>
      <w:lvlJc w:val="left"/>
      <w:pPr>
        <w:ind w:left="2160" w:hanging="360"/>
        <w:tabs>
          <w:tab w:val="num" w:pos="2160" w:leader="none"/>
        </w:tabs>
      </w:pPr>
      <w:rPr>
        <w:rFonts w:hint="default" w:ascii="Wingdings" w:hAnsi="Wingdings"/>
      </w:rPr>
    </w:lvl>
    <w:lvl w:ilvl="6">
      <w:start w:val="1"/>
      <w:numFmt w:val="bullet"/>
      <w:isLgl w:val="false"/>
      <w:suff w:val="tab"/>
      <w:lvlText w:val=""/>
      <w:lvlJc w:val="left"/>
      <w:pPr>
        <w:ind w:left="2520" w:hanging="360"/>
        <w:tabs>
          <w:tab w:val="num" w:pos="2520" w:leader="none"/>
        </w:tabs>
      </w:pPr>
      <w:rPr>
        <w:rFonts w:hint="default" w:ascii="Wingdings" w:hAnsi="Wingdings"/>
      </w:rPr>
    </w:lvl>
    <w:lvl w:ilvl="7">
      <w:start w:val="1"/>
      <w:numFmt w:val="bullet"/>
      <w:isLgl w:val="false"/>
      <w:suff w:val="tab"/>
      <w:lvlText w:val=""/>
      <w:lvlJc w:val="left"/>
      <w:pPr>
        <w:ind w:left="2880" w:hanging="360"/>
        <w:tabs>
          <w:tab w:val="num" w:pos="2880" w:leader="none"/>
        </w:tabs>
      </w:pPr>
      <w:rPr>
        <w:rFonts w:hint="default" w:ascii="Symbol" w:hAnsi="Symbol"/>
      </w:rPr>
    </w:lvl>
    <w:lvl w:ilvl="8">
      <w:start w:val="1"/>
      <w:numFmt w:val="bullet"/>
      <w:isLgl w:val="false"/>
      <w:suff w:val="tab"/>
      <w:lvlText w:val=""/>
      <w:lvlJc w:val="left"/>
      <w:pPr>
        <w:ind w:left="3240" w:hanging="360"/>
        <w:tabs>
          <w:tab w:val="num" w:pos="3240" w:leader="none"/>
        </w:tabs>
      </w:pPr>
      <w:rPr>
        <w:rFonts w:hint="default" w:ascii="Symbol" w:hAnsi="Symbol"/>
      </w:rPr>
    </w:lvl>
  </w:abstractNum>
  <w:abstractNum w:abstractNumId="35">
    <w:multiLevelType w:val="hybridMultilevel"/>
    <w:lvl w:ilvl="0">
      <w:start w:val="1"/>
      <w:numFmt w:val="lowerLetter"/>
      <w:pStyle w:val="2125"/>
      <w:isLgl w:val="false"/>
      <w:suff w:val="tab"/>
      <w:lvlText w:val="%1)"/>
      <w:lvlJc w:val="left"/>
      <w:pPr>
        <w:ind w:left="1757" w:hanging="360"/>
        <w:tabs>
          <w:tab w:val="num" w:pos="1757" w:leader="none"/>
        </w:tabs>
      </w:pPr>
    </w:lvl>
    <w:lvl w:ilvl="1">
      <w:start w:val="1"/>
      <w:numFmt w:val="lowerLetter"/>
      <w:isLgl w:val="false"/>
      <w:suff w:val="tab"/>
      <w:lvlText w:val="%2."/>
      <w:lvlJc w:val="left"/>
      <w:pPr>
        <w:ind w:left="2477" w:hanging="360"/>
        <w:tabs>
          <w:tab w:val="num" w:pos="2477" w:leader="none"/>
        </w:tabs>
      </w:pPr>
    </w:lvl>
    <w:lvl w:ilvl="2">
      <w:start w:val="1"/>
      <w:numFmt w:val="lowerRoman"/>
      <w:isLgl w:val="false"/>
      <w:suff w:val="tab"/>
      <w:lvlText w:val="%3."/>
      <w:lvlJc w:val="right"/>
      <w:pPr>
        <w:ind w:left="3197" w:hanging="180"/>
        <w:tabs>
          <w:tab w:val="num" w:pos="3197" w:leader="none"/>
        </w:tabs>
      </w:pPr>
    </w:lvl>
    <w:lvl w:ilvl="3">
      <w:start w:val="1"/>
      <w:numFmt w:val="decimal"/>
      <w:isLgl w:val="false"/>
      <w:suff w:val="tab"/>
      <w:lvlText w:val="%4."/>
      <w:lvlJc w:val="left"/>
      <w:pPr>
        <w:ind w:left="3917" w:hanging="360"/>
        <w:tabs>
          <w:tab w:val="num" w:pos="3917" w:leader="none"/>
        </w:tabs>
      </w:pPr>
    </w:lvl>
    <w:lvl w:ilvl="4">
      <w:start w:val="1"/>
      <w:numFmt w:val="lowerLetter"/>
      <w:isLgl w:val="false"/>
      <w:suff w:val="tab"/>
      <w:lvlText w:val="%5."/>
      <w:lvlJc w:val="left"/>
      <w:pPr>
        <w:ind w:left="4637" w:hanging="360"/>
        <w:tabs>
          <w:tab w:val="num" w:pos="4637" w:leader="none"/>
        </w:tabs>
      </w:pPr>
    </w:lvl>
    <w:lvl w:ilvl="5">
      <w:start w:val="1"/>
      <w:numFmt w:val="lowerRoman"/>
      <w:isLgl w:val="false"/>
      <w:suff w:val="tab"/>
      <w:lvlText w:val="%6."/>
      <w:lvlJc w:val="right"/>
      <w:pPr>
        <w:ind w:left="5357" w:hanging="180"/>
        <w:tabs>
          <w:tab w:val="num" w:pos="5357" w:leader="none"/>
        </w:tabs>
      </w:pPr>
    </w:lvl>
    <w:lvl w:ilvl="6">
      <w:start w:val="1"/>
      <w:numFmt w:val="decimal"/>
      <w:isLgl w:val="false"/>
      <w:suff w:val="tab"/>
      <w:lvlText w:val="%7."/>
      <w:lvlJc w:val="left"/>
      <w:pPr>
        <w:ind w:left="6077" w:hanging="360"/>
        <w:tabs>
          <w:tab w:val="num" w:pos="6077" w:leader="none"/>
        </w:tabs>
      </w:pPr>
    </w:lvl>
    <w:lvl w:ilvl="7">
      <w:start w:val="1"/>
      <w:numFmt w:val="lowerLetter"/>
      <w:isLgl w:val="false"/>
      <w:suff w:val="tab"/>
      <w:lvlText w:val="%8."/>
      <w:lvlJc w:val="left"/>
      <w:pPr>
        <w:ind w:left="6797" w:hanging="360"/>
        <w:tabs>
          <w:tab w:val="num" w:pos="6797" w:leader="none"/>
        </w:tabs>
      </w:pPr>
    </w:lvl>
    <w:lvl w:ilvl="8">
      <w:start w:val="1"/>
      <w:numFmt w:val="lowerRoman"/>
      <w:isLgl w:val="false"/>
      <w:suff w:val="tab"/>
      <w:lvlText w:val="%9."/>
      <w:lvlJc w:val="right"/>
      <w:pPr>
        <w:ind w:left="7517" w:hanging="180"/>
        <w:tabs>
          <w:tab w:val="num" w:pos="7517" w:leader="none"/>
        </w:tabs>
      </w:pPr>
    </w:lvl>
  </w:abstractNum>
  <w:abstractNum w:abstractNumId="36">
    <w:multiLevelType w:val="hybridMultilevel"/>
    <w:lvl w:ilvl="0">
      <w:start w:val="1"/>
      <w:numFmt w:val="bullet"/>
      <w:pStyle w:val="1659"/>
      <w:isLgl w:val="false"/>
      <w:suff w:val="tab"/>
      <w:lvlText w:val="­"/>
      <w:lvlJc w:val="left"/>
      <w:pPr>
        <w:ind w:left="1134" w:hanging="283"/>
        <w:tabs>
          <w:tab w:val="num" w:pos="1134" w:leader="none"/>
        </w:tabs>
      </w:pPr>
      <w:rPr>
        <w:rFonts w:hint="default" w:ascii="Courier New" w:hAnsi="Courier New"/>
      </w:rPr>
    </w:lvl>
    <w:lvl w:ilvl="1">
      <w:start w:val="1"/>
      <w:numFmt w:val="bullet"/>
      <w:isLgl w:val="false"/>
      <w:suff w:val="tab"/>
      <w:lvlText w:val="o"/>
      <w:lvlJc w:val="left"/>
      <w:pPr>
        <w:ind w:left="2149" w:hanging="360"/>
      </w:pPr>
      <w:rPr>
        <w:rFonts w:hint="default" w:ascii="Courier New" w:hAnsi="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rPr>
    </w:lvl>
    <w:lvl w:ilvl="8">
      <w:start w:val="1"/>
      <w:numFmt w:val="bullet"/>
      <w:isLgl w:val="false"/>
      <w:suff w:val="tab"/>
      <w:lvlText w:val=""/>
      <w:lvlJc w:val="left"/>
      <w:pPr>
        <w:ind w:left="7189" w:hanging="360"/>
      </w:pPr>
      <w:rPr>
        <w:rFonts w:hint="default" w:ascii="Wingdings" w:hAnsi="Wingdings"/>
      </w:rPr>
    </w:lvl>
  </w:abstractNum>
  <w:abstractNum w:abstractNumId="37">
    <w:multiLevelType w:val="hybridMultilevel"/>
    <w:lvl w:ilvl="0">
      <w:start w:val="1"/>
      <w:numFmt w:val="russianLower"/>
      <w:pStyle w:val="1646"/>
      <w:isLgl w:val="false"/>
      <w:suff w:val="tab"/>
      <w:lvlText w:val="%1)"/>
      <w:lvlJc w:val="left"/>
      <w:pPr>
        <w:ind w:left="473" w:hanging="360"/>
      </w:pPr>
      <w:rPr>
        <w:b w:val="0"/>
        <w:bCs w:val="0"/>
        <w:i w:val="0"/>
        <w:iCs w:val="0"/>
        <w:caps w:val="0"/>
        <w:smallCaps w:val="0"/>
        <w:strike w:val="0"/>
        <w:vanish w:val="0"/>
        <w:color w:val="000000"/>
        <w:spacing w:val="0"/>
        <w:position w:val="0"/>
        <w:u w:val="none"/>
        <w:vertAlign w:val="baseline"/>
      </w:rPr>
    </w:lvl>
    <w:lvl w:ilvl="1">
      <w:start w:val="1"/>
      <w:numFmt w:val="decimal"/>
      <w:isLgl w:val="false"/>
      <w:suff w:val="tab"/>
      <w:lvlText w:val="%2)"/>
      <w:lvlJc w:val="left"/>
      <w:pPr>
        <w:ind w:left="680" w:hanging="454"/>
        <w:tabs>
          <w:tab w:val="num" w:pos="1247" w:leader="none"/>
        </w:tabs>
      </w:pPr>
      <w:rPr>
        <w:rFonts w:hint="default" w:ascii="Times New Roman" w:hAnsi="Times New Roman"/>
        <w:b w:val="0"/>
        <w:i w:val="0"/>
        <w:caps w:val="0"/>
        <w:strike w:val="0"/>
        <w:vanish w:val="0"/>
        <w:color w:val="000000"/>
        <w:spacing w:val="0"/>
        <w:position w:val="0"/>
        <w:sz w:val="24"/>
        <w:u w:val="none"/>
        <w:vertAlign w:val="baseline"/>
      </w:rPr>
    </w:lvl>
    <w:lvl w:ilvl="2">
      <w:start w:val="1"/>
      <w:numFmt w:val="none"/>
      <w:isLgl w:val="false"/>
      <w:suff w:val="tab"/>
      <w:lvlText w:val="-"/>
      <w:lvlJc w:val="left"/>
      <w:pPr>
        <w:ind w:left="793" w:hanging="454"/>
        <w:tabs>
          <w:tab w:val="num" w:pos="1360" w:leader="none"/>
        </w:tabs>
      </w:pPr>
      <w:rPr>
        <w:rFonts w:hint="default" w:ascii="Times New Roman" w:hAnsi="Times New Roman"/>
        <w:b w:val="0"/>
        <w:i w:val="0"/>
        <w:caps w:val="0"/>
        <w:strike w:val="0"/>
        <w:vanish w:val="0"/>
        <w:color w:val="auto"/>
        <w:spacing w:val="0"/>
        <w:position w:val="0"/>
        <w:sz w:val="24"/>
        <w:u w:val="none"/>
        <w:vertAlign w:val="baseline"/>
      </w:rPr>
    </w:lvl>
    <w:lvl w:ilvl="3">
      <w:start w:val="1"/>
      <w:numFmt w:val="none"/>
      <w:isLgl w:val="false"/>
      <w:suff w:val="tab"/>
      <w:lvlText w:val="-"/>
      <w:lvlJc w:val="left"/>
      <w:pPr>
        <w:ind w:left="906" w:hanging="454"/>
        <w:tabs>
          <w:tab w:val="num" w:pos="1473" w:leader="none"/>
        </w:tabs>
      </w:pPr>
      <w:rPr>
        <w:rFonts w:hint="default" w:ascii="Times New Roman" w:hAnsi="Times New Roman"/>
        <w:b w:val="0"/>
        <w:i w:val="0"/>
        <w:caps w:val="0"/>
        <w:strike w:val="0"/>
        <w:vanish w:val="0"/>
        <w:color w:val="auto"/>
        <w:spacing w:val="0"/>
        <w:position w:val="0"/>
        <w:sz w:val="24"/>
        <w:u w:val="none"/>
        <w:vertAlign w:val="baseline"/>
      </w:rPr>
    </w:lvl>
    <w:lvl w:ilvl="4">
      <w:start w:val="1"/>
      <w:numFmt w:val="none"/>
      <w:isLgl w:val="false"/>
      <w:suff w:val="tab"/>
      <w:lvlText w:val="-"/>
      <w:lvlJc w:val="left"/>
      <w:pPr>
        <w:ind w:left="1019" w:hanging="454"/>
        <w:tabs>
          <w:tab w:val="num" w:pos="1586" w:leader="none"/>
        </w:tabs>
      </w:pPr>
      <w:rPr>
        <w:rFonts w:hint="default" w:ascii="Times New Roman" w:hAnsi="Times New Roman"/>
        <w:b w:val="0"/>
        <w:i w:val="0"/>
        <w:caps w:val="0"/>
        <w:strike w:val="0"/>
        <w:vanish w:val="0"/>
        <w:color w:val="auto"/>
        <w:sz w:val="24"/>
        <w:u w:val="none"/>
        <w:vertAlign w:val="baseline"/>
      </w:rPr>
    </w:lvl>
    <w:lvl w:ilvl="5">
      <w:start w:val="1"/>
      <w:numFmt w:val="none"/>
      <w:isLgl w:val="false"/>
      <w:suff w:val="tab"/>
      <w:lvlText w:val="-"/>
      <w:lvlJc w:val="left"/>
      <w:pPr>
        <w:ind w:left="1132" w:hanging="454"/>
        <w:tabs>
          <w:tab w:val="num" w:pos="1699" w:leader="none"/>
        </w:tabs>
      </w:pPr>
      <w:rPr>
        <w:rFonts w:hint="default" w:ascii="Times New Roman" w:hAnsi="Times New Roman"/>
        <w:b w:val="0"/>
        <w:i w:val="0"/>
        <w:caps w:val="0"/>
        <w:strike w:val="0"/>
        <w:vanish w:val="0"/>
        <w:color w:val="auto"/>
        <w:spacing w:val="0"/>
        <w:position w:val="0"/>
        <w:sz w:val="24"/>
        <w:vertAlign w:val="baseline"/>
      </w:rPr>
    </w:lvl>
    <w:lvl w:ilvl="6">
      <w:start w:val="1"/>
      <w:numFmt w:val="none"/>
      <w:isLgl w:val="false"/>
      <w:suff w:val="tab"/>
      <w:lvlText w:val="-"/>
      <w:lvlJc w:val="left"/>
      <w:pPr>
        <w:ind w:left="1245" w:hanging="454"/>
        <w:tabs>
          <w:tab w:val="num" w:pos="1812" w:leader="none"/>
        </w:tabs>
      </w:pPr>
      <w:rPr>
        <w:rFonts w:hint="default"/>
      </w:rPr>
    </w:lvl>
    <w:lvl w:ilvl="7">
      <w:start w:val="1"/>
      <w:numFmt w:val="none"/>
      <w:isLgl w:val="false"/>
      <w:suff w:val="tab"/>
      <w:lvlText w:val="-"/>
      <w:lvlJc w:val="left"/>
      <w:pPr>
        <w:ind w:left="1358" w:hanging="454"/>
        <w:tabs>
          <w:tab w:val="num" w:pos="1925" w:leader="none"/>
        </w:tabs>
      </w:pPr>
      <w:rPr>
        <w:rFonts w:hint="default"/>
      </w:rPr>
    </w:lvl>
    <w:lvl w:ilvl="8">
      <w:start w:val="1"/>
      <w:numFmt w:val="none"/>
      <w:isLgl w:val="false"/>
      <w:suff w:val="tab"/>
      <w:lvlText w:val="-"/>
      <w:lvlJc w:val="left"/>
      <w:pPr>
        <w:ind w:left="1471" w:hanging="454"/>
        <w:tabs>
          <w:tab w:val="num" w:pos="2038" w:leader="none"/>
        </w:tabs>
      </w:pPr>
      <w:rPr>
        <w:rFonts w:hint="default"/>
      </w:rPr>
    </w:lvl>
  </w:abstractNum>
  <w:abstractNum w:abstractNumId="38">
    <w:multiLevelType w:val="hybridMultilevel"/>
    <w:lvl w:ilvl="0">
      <w:start w:val="1"/>
      <w:numFmt w:val="bullet"/>
      <w:pStyle w:val="1998"/>
      <w:isLgl w:val="false"/>
      <w:suff w:val="tab"/>
      <w:lvlText w:val=""/>
      <w:lvlJc w:val="left"/>
      <w:pPr>
        <w:ind w:left="1440" w:hanging="360"/>
        <w:tabs>
          <w:tab w:val="num" w:pos="1440" w:leader="none"/>
        </w:tabs>
      </w:pPr>
      <w:rPr>
        <w:rFonts w:hint="default" w:ascii="Wingdings" w:hAnsi="Wingdings"/>
      </w:rPr>
    </w:lvl>
    <w:lvl w:ilvl="1">
      <w:start w:val="1"/>
      <w:numFmt w:val="bullet"/>
      <w:isLgl w:val="false"/>
      <w:suff w:val="tab"/>
      <w:lvlText w:val="o"/>
      <w:lvlJc w:val="left"/>
      <w:pPr>
        <w:ind w:left="1440" w:hanging="360"/>
        <w:tabs>
          <w:tab w:val="num" w:pos="1440" w:leader="none"/>
        </w:tabs>
      </w:pPr>
      <w:rPr>
        <w:rFonts w:hint="default" w:ascii="Courier New" w:hAnsi="Courier New" w:cs="Courier New"/>
      </w:rPr>
    </w:lvl>
    <w:lvl w:ilvl="2">
      <w:start w:val="1"/>
      <w:numFmt w:val="bullet"/>
      <w:isLgl w:val="false"/>
      <w:suff w:val="tab"/>
      <w:lvlText w:val=""/>
      <w:lvlJc w:val="left"/>
      <w:pPr>
        <w:ind w:left="2160" w:hanging="360"/>
        <w:tabs>
          <w:tab w:val="num" w:pos="2160" w:leader="none"/>
        </w:tabs>
      </w:pPr>
      <w:rPr>
        <w:rFonts w:hint="default" w:ascii="Wingdings" w:hAnsi="Wingdings"/>
      </w:rPr>
    </w:lvl>
    <w:lvl w:ilvl="3">
      <w:start w:val="1"/>
      <w:numFmt w:val="bullet"/>
      <w:isLgl w:val="false"/>
      <w:suff w:val="tab"/>
      <w:lvlText w:val=""/>
      <w:lvlJc w:val="left"/>
      <w:pPr>
        <w:ind w:left="2880" w:hanging="360"/>
        <w:tabs>
          <w:tab w:val="num" w:pos="2880" w:leader="none"/>
        </w:tabs>
      </w:pPr>
      <w:rPr>
        <w:rFonts w:hint="default" w:ascii="Symbol" w:hAnsi="Symbol"/>
      </w:rPr>
    </w:lvl>
    <w:lvl w:ilvl="4">
      <w:start w:val="1"/>
      <w:numFmt w:val="bullet"/>
      <w:isLgl w:val="false"/>
      <w:suff w:val="tab"/>
      <w:lvlText w:val="o"/>
      <w:lvlJc w:val="left"/>
      <w:pPr>
        <w:ind w:left="3600" w:hanging="360"/>
        <w:tabs>
          <w:tab w:val="num" w:pos="3600" w:leader="none"/>
        </w:tabs>
      </w:pPr>
      <w:rPr>
        <w:rFonts w:hint="default" w:ascii="Courier New" w:hAnsi="Courier New" w:cs="Courier New"/>
      </w:rPr>
    </w:lvl>
    <w:lvl w:ilvl="5">
      <w:start w:val="1"/>
      <w:numFmt w:val="bullet"/>
      <w:isLgl w:val="false"/>
      <w:suff w:val="tab"/>
      <w:lvlText w:val=""/>
      <w:lvlJc w:val="left"/>
      <w:pPr>
        <w:ind w:left="4320" w:hanging="360"/>
        <w:tabs>
          <w:tab w:val="num" w:pos="4320" w:leader="none"/>
        </w:tabs>
      </w:pPr>
      <w:rPr>
        <w:rFonts w:hint="default" w:ascii="Wingdings" w:hAnsi="Wingdings"/>
      </w:rPr>
    </w:lvl>
    <w:lvl w:ilvl="6">
      <w:start w:val="1"/>
      <w:numFmt w:val="bullet"/>
      <w:isLgl w:val="false"/>
      <w:suff w:val="tab"/>
      <w:lvlText w:val=""/>
      <w:lvlJc w:val="left"/>
      <w:pPr>
        <w:ind w:left="5040" w:hanging="360"/>
        <w:tabs>
          <w:tab w:val="num" w:pos="5040" w:leader="none"/>
        </w:tabs>
      </w:pPr>
      <w:rPr>
        <w:rFonts w:hint="default" w:ascii="Symbol" w:hAnsi="Symbol"/>
      </w:rPr>
    </w:lvl>
    <w:lvl w:ilvl="7">
      <w:start w:val="1"/>
      <w:numFmt w:val="bullet"/>
      <w:isLgl w:val="false"/>
      <w:suff w:val="tab"/>
      <w:lvlText w:val="o"/>
      <w:lvlJc w:val="left"/>
      <w:pPr>
        <w:ind w:left="5760" w:hanging="360"/>
        <w:tabs>
          <w:tab w:val="num" w:pos="5760" w:leader="none"/>
        </w:tabs>
      </w:pPr>
      <w:rPr>
        <w:rFonts w:hint="default" w:ascii="Courier New" w:hAnsi="Courier New" w:cs="Courier New"/>
      </w:rPr>
    </w:lvl>
    <w:lvl w:ilvl="8">
      <w:start w:val="1"/>
      <w:numFmt w:val="bullet"/>
      <w:isLgl w:val="false"/>
      <w:suff w:val="tab"/>
      <w:lvlText w:val=""/>
      <w:lvlJc w:val="left"/>
      <w:pPr>
        <w:ind w:left="6480" w:hanging="360"/>
        <w:tabs>
          <w:tab w:val="num" w:pos="6480" w:leader="none"/>
        </w:tabs>
      </w:pPr>
      <w:rPr>
        <w:rFonts w:hint="default" w:ascii="Wingdings" w:hAnsi="Wingdings"/>
      </w:rPr>
    </w:lvl>
  </w:abstractNum>
  <w:abstractNum w:abstractNumId="39">
    <w:multiLevelType w:val="hybridMultilevel"/>
    <w:lvl w:ilvl="0">
      <w:start w:val="1"/>
      <w:numFmt w:val="decimal"/>
      <w:pStyle w:val="1467"/>
      <w:isLgl w:val="false"/>
      <w:suff w:val="tab"/>
      <w:lvlText w:val="%1."/>
      <w:lvlJc w:val="left"/>
      <w:pPr>
        <w:ind w:left="1021" w:hanging="454"/>
        <w:tabs>
          <w:tab w:val="num" w:pos="1021" w:leader="none"/>
        </w:tabs>
      </w:pPr>
      <w:rPr>
        <w:rFonts w:ascii="Times New Roman" w:hAnsi="Times New Roman" w:cs="Times New Roman"/>
        <w:b w:val="0"/>
        <w:bCs w:val="0"/>
        <w:i w:val="0"/>
        <w:iCs w:val="0"/>
        <w:caps w:val="0"/>
        <w:smallCaps w:val="0"/>
        <w:strike w:val="0"/>
        <w:vanish w:val="0"/>
        <w:spacing w:val="0"/>
        <w:position w:val="0"/>
        <w:u w:val="none"/>
        <w:vertAlign w:val="baseline"/>
      </w:rPr>
    </w:lvl>
    <w:lvl w:ilvl="1">
      <w:start w:val="1"/>
      <w:numFmt w:val="decimal"/>
      <w:pStyle w:val="1303"/>
      <w:isLgl/>
      <w:suff w:val="tab"/>
      <w:lvlText w:val="%1.%2."/>
      <w:lvlJc w:val="left"/>
      <w:pPr>
        <w:ind w:left="1588" w:hanging="567"/>
        <w:tabs>
          <w:tab w:val="num" w:pos="1588" w:leader="none"/>
        </w:tabs>
      </w:pPr>
      <w:rPr>
        <w:rFonts w:hint="default" w:ascii="Times New Roman" w:hAnsi="Times New Roman" w:cs="Times New Roman"/>
        <w:b w:val="0"/>
        <w:i w:val="0"/>
        <w:sz w:val="24"/>
      </w:rPr>
    </w:lvl>
    <w:lvl w:ilvl="2">
      <w:start w:val="1"/>
      <w:numFmt w:val="decimal"/>
      <w:pStyle w:val="1470"/>
      <w:isLgl/>
      <w:suff w:val="tab"/>
      <w:lvlText w:val="%1.%2.%3."/>
      <w:lvlJc w:val="left"/>
      <w:pPr>
        <w:ind w:left="2421" w:hanging="567"/>
        <w:tabs>
          <w:tab w:val="num" w:pos="2421" w:leader="none"/>
        </w:tabs>
      </w:pPr>
      <w:rPr>
        <w:rFonts w:hint="default" w:ascii="Times New Roman" w:hAnsi="Times New Roman" w:cs="Times New Roman"/>
        <w:b w:val="0"/>
        <w:i w:val="0"/>
        <w:sz w:val="24"/>
      </w:rPr>
    </w:lvl>
    <w:lvl w:ilvl="3">
      <w:start w:val="1"/>
      <w:numFmt w:val="decimal"/>
      <w:pStyle w:val="1471"/>
      <w:isLgl w:val="false"/>
      <w:suff w:val="space"/>
      <w:lvlText w:val="%1.%2.%3.%4."/>
      <w:lvlJc w:val="left"/>
      <w:pPr>
        <w:ind w:left="2704" w:hanging="567"/>
      </w:pPr>
      <w:rPr>
        <w:rFonts w:hint="default" w:ascii="Times New Roman" w:hAnsi="Times New Roman" w:cs="Times New Roman"/>
        <w:b w:val="0"/>
        <w:i w:val="0"/>
        <w:sz w:val="24"/>
      </w:rPr>
    </w:lvl>
    <w:lvl w:ilvl="4">
      <w:start w:val="1"/>
      <w:numFmt w:val="decimal"/>
      <w:isLgl w:val="false"/>
      <w:suff w:val="space"/>
      <w:lvlText w:val="%1.%2.%3.%4.%5"/>
      <w:lvlJc w:val="left"/>
      <w:pPr>
        <w:ind w:left="3271" w:hanging="567"/>
      </w:pPr>
      <w:rPr>
        <w:rFonts w:hint="default"/>
      </w:rPr>
    </w:lvl>
    <w:lvl w:ilvl="5">
      <w:start w:val="1"/>
      <w:numFmt w:val="decimal"/>
      <w:isLgl w:val="false"/>
      <w:suff w:val="tab"/>
      <w:lvlText w:val="%1.%2.%3.%4.%5.%6"/>
      <w:lvlJc w:val="left"/>
      <w:pPr>
        <w:ind w:left="1588" w:hanging="1152"/>
        <w:tabs>
          <w:tab w:val="num" w:pos="1588" w:leader="none"/>
        </w:tabs>
      </w:pPr>
      <w:rPr>
        <w:rFonts w:hint="default"/>
      </w:rPr>
    </w:lvl>
    <w:lvl w:ilvl="6">
      <w:start w:val="1"/>
      <w:numFmt w:val="decimal"/>
      <w:isLgl w:val="false"/>
      <w:suff w:val="tab"/>
      <w:lvlText w:val="%1.%2.%3.%4.%5.%6.%7"/>
      <w:lvlJc w:val="left"/>
      <w:pPr>
        <w:ind w:left="1732" w:hanging="1296"/>
        <w:tabs>
          <w:tab w:val="num" w:pos="1732" w:leader="none"/>
        </w:tabs>
      </w:pPr>
      <w:rPr>
        <w:rFonts w:hint="default"/>
      </w:rPr>
    </w:lvl>
    <w:lvl w:ilvl="7">
      <w:start w:val="1"/>
      <w:numFmt w:val="decimal"/>
      <w:isLgl w:val="false"/>
      <w:suff w:val="tab"/>
      <w:lvlText w:val="%1.%2.%3.%4.%5.%6.%7.%8"/>
      <w:lvlJc w:val="left"/>
      <w:pPr>
        <w:ind w:left="1876" w:hanging="1440"/>
        <w:tabs>
          <w:tab w:val="num" w:pos="1876" w:leader="none"/>
        </w:tabs>
      </w:pPr>
      <w:rPr>
        <w:rFonts w:hint="default"/>
      </w:rPr>
    </w:lvl>
    <w:lvl w:ilvl="8">
      <w:start w:val="1"/>
      <w:numFmt w:val="decimal"/>
      <w:isLgl w:val="false"/>
      <w:suff w:val="tab"/>
      <w:lvlText w:val="%1.%2.%3.%4.%5.%6.%7.%8.%9"/>
      <w:lvlJc w:val="left"/>
      <w:pPr>
        <w:ind w:left="2020" w:hanging="1584"/>
        <w:tabs>
          <w:tab w:val="num" w:pos="2020" w:leader="none"/>
        </w:tabs>
      </w:pPr>
      <w:rPr>
        <w:rFonts w:hint="default"/>
      </w:rPr>
    </w:lvl>
  </w:abstractNum>
  <w:abstractNum w:abstractNumId="40">
    <w:multiLevelType w:val="hybridMultilevel"/>
    <w:lvl w:ilvl="0">
      <w:start w:val="1"/>
      <w:numFmt w:val="decimal"/>
      <w:lvlRestart w:val="0"/>
      <w:pStyle w:val="2194"/>
      <w:isLgl w:val="false"/>
      <w:suff w:val="tab"/>
      <w:lvlText w:val="%1."/>
      <w:lvlJc w:val="left"/>
      <w:pPr>
        <w:ind w:left="0" w:firstLine="709"/>
      </w:pPr>
      <w:rPr>
        <w:rFonts w:hint="default"/>
      </w:rPr>
    </w:lvl>
    <w:lvl w:ilvl="1">
      <w:start w:val="1"/>
      <w:numFmt w:val="decimal"/>
      <w:isLgl w:val="false"/>
      <w:suff w:val="tab"/>
      <w:lvlText w:val="%2."/>
      <w:lvlJc w:val="left"/>
      <w:pPr>
        <w:ind w:left="1440" w:hanging="360"/>
        <w:tabs>
          <w:tab w:val="num" w:pos="1440" w:leader="none"/>
        </w:tabs>
      </w:pPr>
      <w:rPr>
        <w:rFonts w:hint="default"/>
      </w:rPr>
    </w:lvl>
    <w:lvl w:ilvl="2">
      <w:start w:val="1"/>
      <w:numFmt w:val="decimal"/>
      <w:isLgl w:val="false"/>
      <w:suff w:val="tab"/>
      <w:lvlText w:val="%3."/>
      <w:lvlJc w:val="left"/>
      <w:pPr>
        <w:ind w:left="2160" w:hanging="360"/>
        <w:tabs>
          <w:tab w:val="num" w:pos="2160" w:leader="none"/>
        </w:tabs>
      </w:pPr>
      <w:rPr>
        <w:rFonts w:hint="default"/>
      </w:rPr>
    </w:lvl>
    <w:lvl w:ilvl="3">
      <w:start w:val="1"/>
      <w:numFmt w:val="decimal"/>
      <w:isLgl w:val="false"/>
      <w:suff w:val="tab"/>
      <w:lvlText w:val="%4."/>
      <w:lvlJc w:val="left"/>
      <w:pPr>
        <w:ind w:left="2880" w:hanging="360"/>
        <w:tabs>
          <w:tab w:val="num" w:pos="2880" w:leader="none"/>
        </w:tabs>
      </w:pPr>
      <w:rPr>
        <w:rFonts w:hint="default"/>
      </w:rPr>
    </w:lvl>
    <w:lvl w:ilvl="4">
      <w:start w:val="1"/>
      <w:numFmt w:val="decimal"/>
      <w:isLgl w:val="false"/>
      <w:suff w:val="tab"/>
      <w:lvlText w:val="%5."/>
      <w:lvlJc w:val="left"/>
      <w:pPr>
        <w:ind w:left="3600" w:hanging="360"/>
        <w:tabs>
          <w:tab w:val="num" w:pos="3600" w:leader="none"/>
        </w:tabs>
      </w:pPr>
      <w:rPr>
        <w:rFonts w:hint="default"/>
      </w:rPr>
    </w:lvl>
    <w:lvl w:ilvl="5">
      <w:start w:val="1"/>
      <w:numFmt w:val="decimal"/>
      <w:isLgl w:val="false"/>
      <w:suff w:val="tab"/>
      <w:lvlText w:val="%6."/>
      <w:lvlJc w:val="left"/>
      <w:pPr>
        <w:ind w:left="4320" w:hanging="360"/>
        <w:tabs>
          <w:tab w:val="num" w:pos="4320" w:leader="none"/>
        </w:tabs>
      </w:pPr>
      <w:rPr>
        <w:rFonts w:hint="default"/>
      </w:rPr>
    </w:lvl>
    <w:lvl w:ilvl="6">
      <w:start w:val="1"/>
      <w:numFmt w:val="decimal"/>
      <w:isLgl w:val="false"/>
      <w:suff w:val="tab"/>
      <w:lvlText w:val="%7."/>
      <w:lvlJc w:val="left"/>
      <w:pPr>
        <w:ind w:left="5040" w:hanging="360"/>
        <w:tabs>
          <w:tab w:val="num" w:pos="5040" w:leader="none"/>
        </w:tabs>
      </w:pPr>
      <w:rPr>
        <w:rFonts w:hint="default"/>
      </w:rPr>
    </w:lvl>
    <w:lvl w:ilvl="7">
      <w:start w:val="1"/>
      <w:numFmt w:val="decimal"/>
      <w:isLgl w:val="false"/>
      <w:suff w:val="tab"/>
      <w:lvlText w:val="%8."/>
      <w:lvlJc w:val="left"/>
      <w:pPr>
        <w:ind w:left="5760" w:hanging="360"/>
        <w:tabs>
          <w:tab w:val="num" w:pos="5760" w:leader="none"/>
        </w:tabs>
      </w:pPr>
      <w:rPr>
        <w:rFonts w:hint="default"/>
      </w:rPr>
    </w:lvl>
    <w:lvl w:ilvl="8">
      <w:start w:val="1"/>
      <w:numFmt w:val="decimal"/>
      <w:isLgl w:val="false"/>
      <w:suff w:val="tab"/>
      <w:lvlText w:val="%9."/>
      <w:lvlJc w:val="left"/>
      <w:pPr>
        <w:ind w:left="6480" w:hanging="360"/>
        <w:tabs>
          <w:tab w:val="num" w:pos="6480" w:leader="none"/>
        </w:tabs>
      </w:pPr>
      <w:rPr>
        <w:rFonts w:hint="default"/>
      </w:rPr>
    </w:lvl>
  </w:abstractNum>
  <w:abstractNum w:abstractNumId="41">
    <w:multiLevelType w:val="hybridMultilevel"/>
    <w:styleLink w:val="1385"/>
    <w:lvl w:ilvl="0">
      <w:start w:val="1"/>
      <w:numFmt w:val="upperRoman"/>
      <w:pStyle w:val="1385"/>
      <w:isLgl w:val="false"/>
      <w:suff w:val="tab"/>
      <w:lvlText w:val="Статья %1."/>
      <w:lvlJc w:val="left"/>
      <w:pPr>
        <w:ind w:left="0" w:firstLine="0"/>
        <w:tabs>
          <w:tab w:val="num" w:pos="1440" w:leader="none"/>
        </w:tabs>
      </w:pPr>
    </w:lvl>
    <w:lvl w:ilvl="1">
      <w:start w:val="1"/>
      <w:numFmt w:val="decimalZero"/>
      <w:isLgl/>
      <w:suff w:val="tab"/>
      <w:lvlText w:val="Раздел %1.%2"/>
      <w:lvlJc w:val="left"/>
      <w:pPr>
        <w:ind w:left="0" w:firstLine="0"/>
        <w:tabs>
          <w:tab w:val="num" w:pos="1080" w:leader="none"/>
        </w:tabs>
      </w:pPr>
    </w:lvl>
    <w:lvl w:ilvl="2">
      <w:start w:val="1"/>
      <w:numFmt w:val="lowerLetter"/>
      <w:isLgl w:val="false"/>
      <w:suff w:val="tab"/>
      <w:lvlText w:val="(%3)"/>
      <w:lvlJc w:val="left"/>
      <w:pPr>
        <w:ind w:left="720" w:hanging="432"/>
        <w:tabs>
          <w:tab w:val="num" w:pos="720" w:leader="none"/>
        </w:tabs>
      </w:pPr>
    </w:lvl>
    <w:lvl w:ilvl="3">
      <w:start w:val="1"/>
      <w:numFmt w:val="lowerRoman"/>
      <w:isLgl w:val="false"/>
      <w:suff w:val="tab"/>
      <w:lvlText w:val="(%4)"/>
      <w:lvlJc w:val="right"/>
      <w:pPr>
        <w:ind w:left="864" w:hanging="144"/>
        <w:tabs>
          <w:tab w:val="num" w:pos="864" w:leader="none"/>
        </w:tabs>
      </w:pPr>
    </w:lvl>
    <w:lvl w:ilvl="4">
      <w:start w:val="1"/>
      <w:numFmt w:val="decimal"/>
      <w:isLgl w:val="false"/>
      <w:suff w:val="tab"/>
      <w:lvlText w:val="%5)"/>
      <w:lvlJc w:val="left"/>
      <w:pPr>
        <w:ind w:left="1008" w:hanging="432"/>
        <w:tabs>
          <w:tab w:val="num" w:pos="1008" w:leader="none"/>
        </w:tabs>
      </w:pPr>
    </w:lvl>
    <w:lvl w:ilvl="5">
      <w:start w:val="1"/>
      <w:numFmt w:val="lowerLetter"/>
      <w:isLgl w:val="false"/>
      <w:suff w:val="tab"/>
      <w:lvlText w:val="%6)"/>
      <w:lvlJc w:val="left"/>
      <w:pPr>
        <w:ind w:left="1152" w:hanging="432"/>
        <w:tabs>
          <w:tab w:val="num" w:pos="1152" w:leader="none"/>
        </w:tabs>
      </w:pPr>
    </w:lvl>
    <w:lvl w:ilvl="6">
      <w:start w:val="1"/>
      <w:numFmt w:val="lowerRoman"/>
      <w:isLgl w:val="false"/>
      <w:suff w:val="tab"/>
      <w:lvlText w:val="%7)"/>
      <w:lvlJc w:val="right"/>
      <w:pPr>
        <w:ind w:left="1296" w:hanging="288"/>
        <w:tabs>
          <w:tab w:val="num" w:pos="1296" w:leader="none"/>
        </w:tabs>
      </w:pPr>
    </w:lvl>
    <w:lvl w:ilvl="7">
      <w:start w:val="1"/>
      <w:numFmt w:val="lowerLetter"/>
      <w:isLgl w:val="false"/>
      <w:suff w:val="tab"/>
      <w:lvlText w:val="%8."/>
      <w:lvlJc w:val="left"/>
      <w:pPr>
        <w:ind w:left="1440" w:hanging="432"/>
        <w:tabs>
          <w:tab w:val="num" w:pos="1440" w:leader="none"/>
        </w:tabs>
      </w:pPr>
    </w:lvl>
    <w:lvl w:ilvl="8">
      <w:start w:val="1"/>
      <w:numFmt w:val="lowerRoman"/>
      <w:isLgl w:val="false"/>
      <w:suff w:val="tab"/>
      <w:lvlText w:val="%9."/>
      <w:lvlJc w:val="right"/>
      <w:pPr>
        <w:ind w:left="1584" w:hanging="144"/>
        <w:tabs>
          <w:tab w:val="num" w:pos="1584" w:leader="none"/>
        </w:tabs>
      </w:pPr>
    </w:lvl>
  </w:abstractNum>
  <w:abstractNum w:abstractNumId="42">
    <w:multiLevelType w:val="hybridMultilevel"/>
    <w:lvl w:ilvl="0">
      <w:start w:val="1"/>
      <w:numFmt w:val="decimal"/>
      <w:pStyle w:val="1544"/>
      <w:isLgl w:val="false"/>
      <w:suff w:val="tab"/>
      <w:lvlText w:val="%1) "/>
      <w:legacy w:legacy="1" w:legacyIndent="283" w:legacySpace="0"/>
      <w:lvlJc w:val="left"/>
      <w:pPr>
        <w:ind w:left="283" w:hanging="283"/>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43">
    <w:multiLevelType w:val="hybridMultilevel"/>
    <w:lvl w:ilvl="0">
      <w:start w:val="1"/>
      <w:numFmt w:val="decimal"/>
      <w:pStyle w:val="1871"/>
      <w:isLgl w:val="false"/>
      <w:suff w:val="tab"/>
      <w:lvlText w:val="%1.1"/>
      <w:lvlJc w:val="left"/>
      <w:pPr>
        <w:ind w:left="1080" w:hanging="360"/>
      </w:pPr>
      <w:rPr>
        <w:rFonts w:ascii="Times New Roman" w:hAnsi="Times New Roman" w:cs="Times New Roman"/>
        <w:b w:val="0"/>
        <w:bCs w:val="0"/>
        <w:i w:val="0"/>
        <w:iCs w:val="0"/>
        <w:caps w:val="0"/>
        <w:smallCaps w:val="0"/>
        <w:strike w:val="0"/>
        <w:vanish w:val="0"/>
        <w:color w:val="000000"/>
        <w:spacing w:val="0"/>
        <w:position w:val="0"/>
        <w:u w:val="none"/>
        <w:vertAlign w:val="baseline"/>
      </w:rPr>
    </w:lvl>
    <w:lvl w:ilvl="1">
      <w:start w:val="1"/>
      <w:numFmt w:val="lowerLetter"/>
      <w:isLgl w:val="false"/>
      <w:suff w:val="tab"/>
      <w:lvlText w:val="%2."/>
      <w:lvlJc w:val="left"/>
      <w:pPr>
        <w:ind w:left="1800" w:hanging="360"/>
      </w:pPr>
    </w:lvl>
    <w:lvl w:ilvl="2">
      <w:start w:val="1"/>
      <w:numFmt w:val="lowerRoman"/>
      <w:isLgl w:val="false"/>
      <w:suff w:val="tab"/>
      <w:lvlText w:val="%3."/>
      <w:lvlJc w:val="right"/>
      <w:pPr>
        <w:ind w:left="2520" w:hanging="180"/>
      </w:pPr>
    </w:lvl>
    <w:lvl w:ilvl="3">
      <w:start w:val="1"/>
      <w:numFmt w:val="decimal"/>
      <w:isLgl w:val="false"/>
      <w:suff w:val="tab"/>
      <w:lvlText w:val="%4."/>
      <w:lvlJc w:val="left"/>
      <w:pPr>
        <w:ind w:left="3240" w:hanging="360"/>
      </w:pPr>
    </w:lvl>
    <w:lvl w:ilvl="4">
      <w:start w:val="1"/>
      <w:numFmt w:val="lowerLetter"/>
      <w:isLgl w:val="false"/>
      <w:suff w:val="tab"/>
      <w:lvlText w:val="%5."/>
      <w:lvlJc w:val="left"/>
      <w:pPr>
        <w:ind w:left="3960" w:hanging="360"/>
      </w:pPr>
    </w:lvl>
    <w:lvl w:ilvl="5">
      <w:start w:val="1"/>
      <w:numFmt w:val="lowerRoman"/>
      <w:isLgl w:val="false"/>
      <w:suff w:val="tab"/>
      <w:lvlText w:val="%6."/>
      <w:lvlJc w:val="right"/>
      <w:pPr>
        <w:ind w:left="4680" w:hanging="180"/>
      </w:pPr>
    </w:lvl>
    <w:lvl w:ilvl="6">
      <w:start w:val="1"/>
      <w:numFmt w:val="decimal"/>
      <w:isLgl w:val="false"/>
      <w:suff w:val="tab"/>
      <w:lvlText w:val="%7."/>
      <w:lvlJc w:val="left"/>
      <w:pPr>
        <w:ind w:left="5400" w:hanging="360"/>
      </w:pPr>
    </w:lvl>
    <w:lvl w:ilvl="7">
      <w:start w:val="1"/>
      <w:numFmt w:val="lowerLetter"/>
      <w:isLgl w:val="false"/>
      <w:suff w:val="tab"/>
      <w:lvlText w:val="%8."/>
      <w:lvlJc w:val="left"/>
      <w:pPr>
        <w:ind w:left="6120" w:hanging="360"/>
      </w:pPr>
    </w:lvl>
    <w:lvl w:ilvl="8">
      <w:start w:val="1"/>
      <w:numFmt w:val="lowerRoman"/>
      <w:isLgl w:val="false"/>
      <w:suff w:val="tab"/>
      <w:lvlText w:val="%9."/>
      <w:lvlJc w:val="right"/>
      <w:pPr>
        <w:ind w:left="6840" w:hanging="180"/>
      </w:pPr>
    </w:lvl>
  </w:abstractNum>
  <w:abstractNum w:abstractNumId="44">
    <w:multiLevelType w:val="hybridMultilevel"/>
    <w:lvl w:ilvl="0">
      <w:start w:val="1"/>
      <w:numFmt w:val="decimal"/>
      <w:isLgl w:val="false"/>
      <w:suff w:val="tab"/>
      <w:lvlText w:val="%1."/>
      <w:lvlJc w:val="left"/>
      <w:pPr>
        <w:ind w:left="284" w:hanging="227"/>
        <w:tabs>
          <w:tab w:val="num" w:pos="284" w:leader="none"/>
        </w:tabs>
      </w:pPr>
      <w:rPr>
        <w:rFonts w:hint="default"/>
      </w:rPr>
    </w:lvl>
    <w:lvl w:ilvl="1">
      <w:start w:val="1"/>
      <w:numFmt w:val="decimal"/>
      <w:isLgl w:val="false"/>
      <w:suff w:val="tab"/>
      <w:lvlText w:val="%1.%2."/>
      <w:lvlJc w:val="left"/>
      <w:pPr>
        <w:ind w:left="454" w:hanging="397"/>
        <w:tabs>
          <w:tab w:val="num" w:pos="454" w:leader="none"/>
        </w:tabs>
      </w:pPr>
      <w:rPr>
        <w:rFonts w:hint="default"/>
      </w:rPr>
    </w:lvl>
    <w:lvl w:ilvl="2">
      <w:start w:val="1"/>
      <w:numFmt w:val="decimal"/>
      <w:isLgl w:val="false"/>
      <w:suff w:val="tab"/>
      <w:lvlText w:val="%1.%2.%3."/>
      <w:lvlJc w:val="left"/>
      <w:pPr>
        <w:ind w:left="624" w:hanging="567"/>
        <w:tabs>
          <w:tab w:val="num" w:pos="624" w:leader="none"/>
        </w:tabs>
      </w:pPr>
      <w:rPr>
        <w:rFonts w:hint="default"/>
      </w:rPr>
    </w:lvl>
    <w:lvl w:ilvl="3">
      <w:start w:val="1"/>
      <w:numFmt w:val="decimal"/>
      <w:isLgl w:val="false"/>
      <w:suff w:val="tab"/>
      <w:lvlText w:val="%1.%2.%3.%4."/>
      <w:lvlJc w:val="left"/>
      <w:pPr>
        <w:ind w:left="1728" w:hanging="648"/>
        <w:tabs>
          <w:tab w:val="num" w:pos="1800" w:leader="none"/>
        </w:tabs>
      </w:pPr>
      <w:rPr>
        <w:rFonts w:hint="default"/>
      </w:rPr>
    </w:lvl>
    <w:lvl w:ilvl="4">
      <w:start w:val="1"/>
      <w:numFmt w:val="decimal"/>
      <w:isLgl w:val="false"/>
      <w:suff w:val="tab"/>
      <w:lvlText w:val="%1.%2.%3.%4.%5."/>
      <w:lvlJc w:val="left"/>
      <w:pPr>
        <w:ind w:left="2232" w:hanging="792"/>
        <w:tabs>
          <w:tab w:val="num" w:pos="2520" w:leader="none"/>
        </w:tabs>
      </w:pPr>
      <w:rPr>
        <w:rFonts w:hint="default"/>
      </w:rPr>
    </w:lvl>
    <w:lvl w:ilvl="5">
      <w:start w:val="1"/>
      <w:numFmt w:val="decimal"/>
      <w:isLgl w:val="false"/>
      <w:suff w:val="tab"/>
      <w:lvlText w:val="%1.%2.%3.%4.%5.%6."/>
      <w:lvlJc w:val="left"/>
      <w:pPr>
        <w:ind w:left="2736" w:hanging="936"/>
        <w:tabs>
          <w:tab w:val="num" w:pos="2880" w:leader="none"/>
        </w:tabs>
      </w:pPr>
      <w:rPr>
        <w:rFonts w:hint="default"/>
      </w:rPr>
    </w:lvl>
    <w:lvl w:ilvl="6">
      <w:start w:val="1"/>
      <w:numFmt w:val="decimal"/>
      <w:isLgl w:val="false"/>
      <w:suff w:val="tab"/>
      <w:lvlText w:val="%1.%2.%3.%4.%5.%6.%7."/>
      <w:lvlJc w:val="left"/>
      <w:pPr>
        <w:ind w:left="3240" w:hanging="1080"/>
        <w:tabs>
          <w:tab w:val="num" w:pos="3600" w:leader="none"/>
        </w:tabs>
      </w:pPr>
      <w:rPr>
        <w:rFonts w:hint="default"/>
      </w:rPr>
    </w:lvl>
    <w:lvl w:ilvl="7">
      <w:start w:val="1"/>
      <w:numFmt w:val="decimal"/>
      <w:isLgl w:val="false"/>
      <w:suff w:val="tab"/>
      <w:lvlText w:val="%1.%2.%3.%4.%5.%6.%7.%8."/>
      <w:lvlJc w:val="left"/>
      <w:pPr>
        <w:ind w:left="3744" w:hanging="1224"/>
        <w:tabs>
          <w:tab w:val="num" w:pos="3960" w:leader="none"/>
        </w:tabs>
      </w:pPr>
      <w:rPr>
        <w:rFonts w:hint="default"/>
      </w:rPr>
    </w:lvl>
    <w:lvl w:ilvl="8">
      <w:start w:val="1"/>
      <w:numFmt w:val="decimal"/>
      <w:isLgl w:val="false"/>
      <w:suff w:val="tab"/>
      <w:lvlText w:val="%1.%2.%3.%4.%5.%6.%7.%8.%9."/>
      <w:lvlJc w:val="left"/>
      <w:pPr>
        <w:ind w:left="4320" w:hanging="1440"/>
        <w:tabs>
          <w:tab w:val="num" w:pos="4680" w:leader="none"/>
        </w:tabs>
      </w:pPr>
      <w:rPr>
        <w:rFonts w:hint="default"/>
      </w:rPr>
    </w:lvl>
  </w:abstractNum>
  <w:abstractNum w:abstractNumId="45">
    <w:multiLevelType w:val="hybridMultilevel"/>
    <w:lvl w:ilvl="0">
      <w:start w:val="1"/>
      <w:numFmt w:val="bullet"/>
      <w:pStyle w:val="2039"/>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rPr>
    </w:lvl>
    <w:lvl w:ilvl="8">
      <w:start w:val="1"/>
      <w:numFmt w:val="bullet"/>
      <w:isLgl w:val="false"/>
      <w:suff w:val="tab"/>
      <w:lvlText w:val=""/>
      <w:lvlJc w:val="left"/>
      <w:pPr>
        <w:ind w:left="7047" w:hanging="360"/>
      </w:pPr>
      <w:rPr>
        <w:rFonts w:hint="default" w:ascii="Wingdings" w:hAnsi="Wingdings"/>
      </w:rPr>
    </w:lvl>
  </w:abstractNum>
  <w:abstractNum w:abstractNumId="46">
    <w:multiLevelType w:val="hybridMultilevel"/>
    <w:lvl w:ilvl="0">
      <w:start w:val="1"/>
      <w:numFmt w:val="bullet"/>
      <w:pStyle w:val="1940"/>
      <w:isLgl w:val="false"/>
      <w:suff w:val="tab"/>
      <w:lvlText w:val=""/>
      <w:lvlJc w:val="left"/>
      <w:pPr>
        <w:ind w:left="1344" w:hanging="360"/>
      </w:pPr>
      <w:rPr>
        <w:rFonts w:hint="default" w:ascii="Wingdings" w:hAnsi="Wingdings"/>
      </w:rPr>
    </w:lvl>
    <w:lvl w:ilvl="1">
      <w:start w:val="1"/>
      <w:numFmt w:val="bullet"/>
      <w:isLgl w:val="false"/>
      <w:suff w:val="tab"/>
      <w:lvlText w:val="o"/>
      <w:lvlJc w:val="left"/>
      <w:pPr>
        <w:ind w:left="2064" w:hanging="360"/>
      </w:pPr>
      <w:rPr>
        <w:rFonts w:hint="default" w:ascii="Courier New" w:hAnsi="Courier New" w:cs="Courier New"/>
      </w:rPr>
    </w:lvl>
    <w:lvl w:ilvl="2">
      <w:start w:val="1"/>
      <w:numFmt w:val="bullet"/>
      <w:isLgl w:val="false"/>
      <w:suff w:val="tab"/>
      <w:lvlText w:val=""/>
      <w:lvlJc w:val="left"/>
      <w:pPr>
        <w:ind w:left="2784" w:hanging="360"/>
      </w:pPr>
      <w:rPr>
        <w:rFonts w:hint="default" w:ascii="Wingdings" w:hAnsi="Wingdings"/>
      </w:rPr>
    </w:lvl>
    <w:lvl w:ilvl="3">
      <w:start w:val="1"/>
      <w:numFmt w:val="bullet"/>
      <w:isLgl w:val="false"/>
      <w:suff w:val="tab"/>
      <w:lvlText w:val=""/>
      <w:lvlJc w:val="left"/>
      <w:pPr>
        <w:ind w:left="3504" w:hanging="360"/>
      </w:pPr>
      <w:rPr>
        <w:rFonts w:hint="default" w:ascii="Symbol" w:hAnsi="Symbol"/>
      </w:rPr>
    </w:lvl>
    <w:lvl w:ilvl="4">
      <w:start w:val="1"/>
      <w:numFmt w:val="bullet"/>
      <w:isLgl w:val="false"/>
      <w:suff w:val="tab"/>
      <w:lvlText w:val="o"/>
      <w:lvlJc w:val="left"/>
      <w:pPr>
        <w:ind w:left="4224" w:hanging="360"/>
      </w:pPr>
      <w:rPr>
        <w:rFonts w:hint="default" w:ascii="Courier New" w:hAnsi="Courier New" w:cs="Courier New"/>
      </w:rPr>
    </w:lvl>
    <w:lvl w:ilvl="5">
      <w:start w:val="1"/>
      <w:numFmt w:val="bullet"/>
      <w:isLgl w:val="false"/>
      <w:suff w:val="tab"/>
      <w:lvlText w:val=""/>
      <w:lvlJc w:val="left"/>
      <w:pPr>
        <w:ind w:left="4944" w:hanging="360"/>
      </w:pPr>
      <w:rPr>
        <w:rFonts w:hint="default" w:ascii="Wingdings" w:hAnsi="Wingdings"/>
      </w:rPr>
    </w:lvl>
    <w:lvl w:ilvl="6">
      <w:start w:val="1"/>
      <w:numFmt w:val="bullet"/>
      <w:isLgl w:val="false"/>
      <w:suff w:val="tab"/>
      <w:lvlText w:val=""/>
      <w:lvlJc w:val="left"/>
      <w:pPr>
        <w:ind w:left="5664" w:hanging="360"/>
      </w:pPr>
      <w:rPr>
        <w:rFonts w:hint="default" w:ascii="Symbol" w:hAnsi="Symbol"/>
      </w:rPr>
    </w:lvl>
    <w:lvl w:ilvl="7">
      <w:start w:val="1"/>
      <w:numFmt w:val="bullet"/>
      <w:isLgl w:val="false"/>
      <w:suff w:val="tab"/>
      <w:lvlText w:val="o"/>
      <w:lvlJc w:val="left"/>
      <w:pPr>
        <w:ind w:left="6384" w:hanging="360"/>
      </w:pPr>
      <w:rPr>
        <w:rFonts w:hint="default" w:ascii="Courier New" w:hAnsi="Courier New" w:cs="Courier New"/>
      </w:rPr>
    </w:lvl>
    <w:lvl w:ilvl="8">
      <w:start w:val="1"/>
      <w:numFmt w:val="bullet"/>
      <w:isLgl w:val="false"/>
      <w:suff w:val="tab"/>
      <w:lvlText w:val=""/>
      <w:lvlJc w:val="left"/>
      <w:pPr>
        <w:ind w:left="7104" w:hanging="360"/>
      </w:pPr>
      <w:rPr>
        <w:rFonts w:hint="default" w:ascii="Wingdings" w:hAnsi="Wingdings"/>
      </w:rPr>
    </w:lvl>
  </w:abstractNum>
  <w:abstractNum w:abstractNumId="47">
    <w:multiLevelType w:val="hybridMultilevel"/>
    <w:lvl w:ilvl="0">
      <w:start w:val="1"/>
      <w:numFmt w:val="decimal"/>
      <w:pStyle w:val="1726"/>
      <w:isLgl w:val="false"/>
      <w:suff w:val="tab"/>
      <w:lvlText w:val="%1."/>
      <w:lvlJc w:val="left"/>
      <w:pPr>
        <w:ind w:left="567" w:hanging="567"/>
        <w:tabs>
          <w:tab w:val="num" w:pos="567" w:leader="none"/>
        </w:tabs>
      </w:pPr>
      <w:rPr>
        <w:rFonts w:hint="default"/>
      </w:r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48">
    <w:multiLevelType w:val="hybridMultilevel"/>
    <w:lvl w:ilvl="0">
      <w:start w:val="1"/>
      <w:numFmt w:val="decimal"/>
      <w:pStyle w:val="2044"/>
      <w:isLgl w:val="false"/>
      <w:suff w:val="tab"/>
      <w:lvlText w:val="E0.%1."/>
      <w:lvlJc w:val="left"/>
      <w:pPr>
        <w:ind w:left="720" w:hanging="360"/>
      </w:pPr>
      <w:rPr>
        <w:rFonts w:ascii="Times New Roman" w:hAnsi="Times New Roman" w:cs="Times New Roman"/>
        <w:b w:val="0"/>
        <w:bCs w:val="0"/>
        <w:i w:val="0"/>
        <w:iCs w:val="0"/>
        <w:caps w:val="0"/>
        <w:smallCaps w:val="0"/>
        <w:strike w:val="0"/>
        <w:vanish w:val="0"/>
        <w:color w:val="000000"/>
        <w:spacing w:val="0"/>
        <w:position w:val="0"/>
        <w:sz w:val="24"/>
        <w:szCs w:val="24"/>
        <w:u w:val="none"/>
        <w:vertAlign w:val="baseline"/>
      </w:rPr>
    </w:lvl>
    <w:lvl w:ilvl="1">
      <w:start w:val="1"/>
      <w:numFmt w:val="lowerLetter"/>
      <w:isLgl w:val="false"/>
      <w:suff w:val="tab"/>
      <w:lvlText w:val="%2."/>
      <w:lvlJc w:val="left"/>
      <w:pPr>
        <w:ind w:left="1440" w:hanging="360"/>
      </w:pPr>
      <w:rPr>
        <w:rFonts w:cs="Times New Roman"/>
      </w:rPr>
    </w:lvl>
    <w:lvl w:ilvl="2">
      <w:start w:val="1"/>
      <w:numFmt w:val="lowerRoman"/>
      <w:isLgl w:val="false"/>
      <w:suff w:val="tab"/>
      <w:lvlText w:val="%3."/>
      <w:lvlJc w:val="right"/>
      <w:pPr>
        <w:ind w:left="2160" w:hanging="180"/>
      </w:pPr>
      <w:rPr>
        <w:rFonts w:cs="Times New Roman"/>
      </w:rPr>
    </w:lvl>
    <w:lvl w:ilvl="3">
      <w:start w:val="1"/>
      <w:numFmt w:val="decimal"/>
      <w:isLgl w:val="false"/>
      <w:suff w:val="tab"/>
      <w:lvlText w:val="%4."/>
      <w:lvlJc w:val="left"/>
      <w:pPr>
        <w:ind w:left="2880" w:hanging="360"/>
      </w:pPr>
      <w:rPr>
        <w:rFonts w:cs="Times New Roman"/>
      </w:rPr>
    </w:lvl>
    <w:lvl w:ilvl="4">
      <w:start w:val="1"/>
      <w:numFmt w:val="lowerLetter"/>
      <w:isLgl w:val="false"/>
      <w:suff w:val="tab"/>
      <w:lvlText w:val="%5."/>
      <w:lvlJc w:val="left"/>
      <w:pPr>
        <w:ind w:left="3600" w:hanging="360"/>
      </w:pPr>
      <w:rPr>
        <w:rFonts w:cs="Times New Roman"/>
      </w:rPr>
    </w:lvl>
    <w:lvl w:ilvl="5">
      <w:start w:val="1"/>
      <w:numFmt w:val="lowerRoman"/>
      <w:isLgl w:val="false"/>
      <w:suff w:val="tab"/>
      <w:lvlText w:val="%6."/>
      <w:lvlJc w:val="right"/>
      <w:pPr>
        <w:ind w:left="4320" w:hanging="180"/>
      </w:pPr>
      <w:rPr>
        <w:rFonts w:cs="Times New Roman"/>
      </w:rPr>
    </w:lvl>
    <w:lvl w:ilvl="6">
      <w:start w:val="1"/>
      <w:numFmt w:val="decimal"/>
      <w:isLgl w:val="false"/>
      <w:suff w:val="tab"/>
      <w:lvlText w:val="%7."/>
      <w:lvlJc w:val="left"/>
      <w:pPr>
        <w:ind w:left="5040" w:hanging="360"/>
      </w:pPr>
      <w:rPr>
        <w:rFonts w:cs="Times New Roman"/>
      </w:rPr>
    </w:lvl>
    <w:lvl w:ilvl="7">
      <w:start w:val="1"/>
      <w:numFmt w:val="lowerLetter"/>
      <w:isLgl w:val="false"/>
      <w:suff w:val="tab"/>
      <w:lvlText w:val="%8."/>
      <w:lvlJc w:val="left"/>
      <w:pPr>
        <w:ind w:left="5760" w:hanging="360"/>
      </w:pPr>
      <w:rPr>
        <w:rFonts w:cs="Times New Roman"/>
      </w:rPr>
    </w:lvl>
    <w:lvl w:ilvl="8">
      <w:start w:val="1"/>
      <w:numFmt w:val="lowerRoman"/>
      <w:isLgl w:val="false"/>
      <w:suff w:val="tab"/>
      <w:lvlText w:val="%9."/>
      <w:lvlJc w:val="right"/>
      <w:pPr>
        <w:ind w:left="6480" w:hanging="180"/>
      </w:pPr>
      <w:rPr>
        <w:rFonts w:cs="Times New Roman"/>
      </w:rPr>
    </w:lvl>
  </w:abstractNum>
  <w:abstractNum w:abstractNumId="49">
    <w:multiLevelType w:val="hybridMultilevel"/>
    <w:styleLink w:val="1342"/>
    <w:lvl w:ilvl="0">
      <w:start w:val="1"/>
      <w:numFmt w:val="decimal"/>
      <w:pStyle w:val="1342"/>
      <w:isLgl w:val="false"/>
      <w:suff w:val="tab"/>
      <w:lvlText w:val="%1)"/>
      <w:lvlJc w:val="left"/>
      <w:pPr>
        <w:ind w:left="360" w:hanging="360"/>
        <w:tabs>
          <w:tab w:val="num" w:pos="360" w:leader="none"/>
        </w:tabs>
      </w:pPr>
    </w:lvl>
    <w:lvl w:ilvl="1">
      <w:start w:val="1"/>
      <w:numFmt w:val="lowerLetter"/>
      <w:isLgl w:val="false"/>
      <w:suff w:val="tab"/>
      <w:lvlText w:val="%2)"/>
      <w:lvlJc w:val="left"/>
      <w:pPr>
        <w:ind w:left="720" w:hanging="360"/>
        <w:tabs>
          <w:tab w:val="num" w:pos="720" w:leader="none"/>
        </w:tabs>
      </w:pPr>
    </w:lvl>
    <w:lvl w:ilvl="2">
      <w:start w:val="1"/>
      <w:numFmt w:val="lowerRoman"/>
      <w:isLgl w:val="false"/>
      <w:suff w:val="tab"/>
      <w:lvlText w:val="%3)"/>
      <w:lvlJc w:val="left"/>
      <w:pPr>
        <w:ind w:left="1080" w:hanging="360"/>
        <w:tabs>
          <w:tab w:val="num" w:pos="1080" w:leader="none"/>
        </w:tabs>
      </w:pPr>
    </w:lvl>
    <w:lvl w:ilvl="3">
      <w:start w:val="1"/>
      <w:numFmt w:val="decimal"/>
      <w:isLgl w:val="false"/>
      <w:suff w:val="tab"/>
      <w:lvlText w:val="(%4)"/>
      <w:lvlJc w:val="left"/>
      <w:pPr>
        <w:ind w:left="1440" w:hanging="360"/>
        <w:tabs>
          <w:tab w:val="num" w:pos="1440" w:leader="none"/>
        </w:tabs>
      </w:pPr>
    </w:lvl>
    <w:lvl w:ilvl="4">
      <w:start w:val="1"/>
      <w:numFmt w:val="lowerLetter"/>
      <w:isLgl w:val="false"/>
      <w:suff w:val="tab"/>
      <w:lvlText w:val="(%5)"/>
      <w:lvlJc w:val="left"/>
      <w:pPr>
        <w:ind w:left="1800" w:hanging="360"/>
        <w:tabs>
          <w:tab w:val="num" w:pos="1800" w:leader="none"/>
        </w:tabs>
      </w:pPr>
    </w:lvl>
    <w:lvl w:ilvl="5">
      <w:start w:val="1"/>
      <w:numFmt w:val="lowerRoman"/>
      <w:isLgl w:val="false"/>
      <w:suff w:val="tab"/>
      <w:lvlText w:val="(%6)"/>
      <w:lvlJc w:val="left"/>
      <w:pPr>
        <w:ind w:left="2160" w:hanging="360"/>
        <w:tabs>
          <w:tab w:val="num" w:pos="2160" w:leader="none"/>
        </w:tabs>
      </w:pPr>
    </w:lvl>
    <w:lvl w:ilvl="6">
      <w:start w:val="1"/>
      <w:numFmt w:val="decimal"/>
      <w:isLgl w:val="false"/>
      <w:suff w:val="tab"/>
      <w:lvlText w:val="%7."/>
      <w:lvlJc w:val="left"/>
      <w:pPr>
        <w:ind w:left="2520" w:hanging="360"/>
        <w:tabs>
          <w:tab w:val="num" w:pos="2520" w:leader="none"/>
        </w:tabs>
      </w:pPr>
    </w:lvl>
    <w:lvl w:ilvl="7">
      <w:start w:val="1"/>
      <w:numFmt w:val="lowerLetter"/>
      <w:isLgl w:val="false"/>
      <w:suff w:val="tab"/>
      <w:lvlText w:val="%8."/>
      <w:lvlJc w:val="left"/>
      <w:pPr>
        <w:ind w:left="2880" w:hanging="360"/>
        <w:tabs>
          <w:tab w:val="num" w:pos="2880" w:leader="none"/>
        </w:tabs>
      </w:pPr>
    </w:lvl>
    <w:lvl w:ilvl="8">
      <w:start w:val="1"/>
      <w:numFmt w:val="lowerRoman"/>
      <w:isLgl w:val="false"/>
      <w:suff w:val="tab"/>
      <w:lvlText w:val="%9."/>
      <w:lvlJc w:val="left"/>
      <w:pPr>
        <w:ind w:left="3240" w:hanging="360"/>
        <w:tabs>
          <w:tab w:val="num" w:pos="3240" w:leader="none"/>
        </w:tabs>
      </w:pPr>
    </w:lvl>
  </w:abstractNum>
  <w:abstractNum w:abstractNumId="50">
    <w:multiLevelType w:val="hybridMultilevel"/>
    <w:lvl w:ilvl="0">
      <w:start w:val="1"/>
      <w:numFmt w:val="bullet"/>
      <w:pStyle w:val="1865"/>
      <w:isLgl w:val="false"/>
      <w:suff w:val="tab"/>
      <w:lvlText w:val="­"/>
      <w:lvlJc w:val="left"/>
      <w:pPr>
        <w:ind w:left="1647" w:hanging="360"/>
        <w:tabs>
          <w:tab w:val="num" w:pos="1647" w:leader="none"/>
        </w:tabs>
      </w:pPr>
      <w:rPr>
        <w:rFonts w:hint="default" w:ascii="Courier New" w:hAnsi="Courier New"/>
      </w:rPr>
    </w:lvl>
    <w:lvl w:ilvl="1">
      <w:start w:val="1"/>
      <w:numFmt w:val="lowerLetter"/>
      <w:isLgl w:val="false"/>
      <w:suff w:val="tab"/>
      <w:lvlText w:val="%2."/>
      <w:lvlJc w:val="left"/>
      <w:pPr>
        <w:ind w:left="2436" w:hanging="360"/>
        <w:tabs>
          <w:tab w:val="num" w:pos="2436" w:leader="none"/>
        </w:tabs>
      </w:pPr>
    </w:lvl>
    <w:lvl w:ilvl="2">
      <w:start w:val="1"/>
      <w:numFmt w:val="lowerRoman"/>
      <w:isLgl w:val="false"/>
      <w:suff w:val="tab"/>
      <w:lvlText w:val="%3."/>
      <w:lvlJc w:val="right"/>
      <w:pPr>
        <w:ind w:left="3156" w:hanging="180"/>
        <w:tabs>
          <w:tab w:val="num" w:pos="3156" w:leader="none"/>
        </w:tabs>
      </w:pPr>
    </w:lvl>
    <w:lvl w:ilvl="3">
      <w:start w:val="1"/>
      <w:numFmt w:val="decimal"/>
      <w:isLgl w:val="false"/>
      <w:suff w:val="tab"/>
      <w:lvlText w:val="%4."/>
      <w:lvlJc w:val="left"/>
      <w:pPr>
        <w:ind w:left="3876" w:hanging="360"/>
        <w:tabs>
          <w:tab w:val="num" w:pos="3876" w:leader="none"/>
        </w:tabs>
      </w:pPr>
    </w:lvl>
    <w:lvl w:ilvl="4">
      <w:start w:val="1"/>
      <w:numFmt w:val="lowerLetter"/>
      <w:isLgl w:val="false"/>
      <w:suff w:val="tab"/>
      <w:lvlText w:val="%5."/>
      <w:lvlJc w:val="left"/>
      <w:pPr>
        <w:ind w:left="4596" w:hanging="360"/>
        <w:tabs>
          <w:tab w:val="num" w:pos="4596" w:leader="none"/>
        </w:tabs>
      </w:pPr>
    </w:lvl>
    <w:lvl w:ilvl="5">
      <w:start w:val="1"/>
      <w:numFmt w:val="lowerRoman"/>
      <w:isLgl w:val="false"/>
      <w:suff w:val="tab"/>
      <w:lvlText w:val="%6."/>
      <w:lvlJc w:val="right"/>
      <w:pPr>
        <w:ind w:left="5316" w:hanging="180"/>
        <w:tabs>
          <w:tab w:val="num" w:pos="5316" w:leader="none"/>
        </w:tabs>
      </w:pPr>
    </w:lvl>
    <w:lvl w:ilvl="6">
      <w:start w:val="1"/>
      <w:numFmt w:val="decimal"/>
      <w:isLgl w:val="false"/>
      <w:suff w:val="tab"/>
      <w:lvlText w:val="%7."/>
      <w:lvlJc w:val="left"/>
      <w:pPr>
        <w:ind w:left="6036" w:hanging="360"/>
        <w:tabs>
          <w:tab w:val="num" w:pos="6036" w:leader="none"/>
        </w:tabs>
      </w:pPr>
    </w:lvl>
    <w:lvl w:ilvl="7">
      <w:start w:val="1"/>
      <w:numFmt w:val="lowerLetter"/>
      <w:isLgl w:val="false"/>
      <w:suff w:val="tab"/>
      <w:lvlText w:val="%8."/>
      <w:lvlJc w:val="left"/>
      <w:pPr>
        <w:ind w:left="6756" w:hanging="360"/>
        <w:tabs>
          <w:tab w:val="num" w:pos="6756" w:leader="none"/>
        </w:tabs>
      </w:pPr>
    </w:lvl>
    <w:lvl w:ilvl="8">
      <w:start w:val="1"/>
      <w:numFmt w:val="lowerRoman"/>
      <w:isLgl w:val="false"/>
      <w:suff w:val="tab"/>
      <w:lvlText w:val="%9."/>
      <w:lvlJc w:val="right"/>
      <w:pPr>
        <w:ind w:left="7476" w:hanging="180"/>
        <w:tabs>
          <w:tab w:val="num" w:pos="7476" w:leader="none"/>
        </w:tabs>
      </w:pPr>
    </w:lvl>
  </w:abstractNum>
  <w:abstractNum w:abstractNumId="51">
    <w:multiLevelType w:val="hybridMultilevel"/>
    <w:lvl w:ilvl="0">
      <w:start w:val="1"/>
      <w:numFmt w:val="bullet"/>
      <w:pStyle w:val="2042"/>
      <w:isLgl w:val="false"/>
      <w:suff w:val="tab"/>
      <w:lvlText w:val="-"/>
      <w:lvlJc w:val="left"/>
      <w:pPr>
        <w:ind w:left="720" w:hanging="360"/>
      </w:pPr>
      <w:rPr>
        <w:rFonts w:hint="default" w:ascii="Times New Roman" w:hAnsi="Times New Roman" w:eastAsia="Times New Roman"/>
      </w:rPr>
    </w:lvl>
    <w:lvl w:ilvl="1">
      <w:start w:val="1"/>
      <w:numFmt w:val="bullet"/>
      <w:isLgl w:val="false"/>
      <w:suff w:val="tab"/>
      <w:lvlText w:val="o"/>
      <w:lvlJc w:val="left"/>
      <w:pPr>
        <w:ind w:left="1440" w:hanging="360"/>
      </w:pPr>
      <w:rPr>
        <w:rFonts w:hint="default" w:ascii="Courier New" w:hAnsi="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rPr>
    </w:lvl>
    <w:lvl w:ilvl="8">
      <w:start w:val="1"/>
      <w:numFmt w:val="bullet"/>
      <w:isLgl w:val="false"/>
      <w:suff w:val="tab"/>
      <w:lvlText w:val=""/>
      <w:lvlJc w:val="left"/>
      <w:pPr>
        <w:ind w:left="6480" w:hanging="360"/>
      </w:pPr>
      <w:rPr>
        <w:rFonts w:hint="default" w:ascii="Wingdings" w:hAnsi="Wingdings"/>
      </w:rPr>
    </w:lvl>
  </w:abstractNum>
  <w:abstractNum w:abstractNumId="52">
    <w:multiLevelType w:val="hybridMultilevel"/>
    <w:lvl w:ilvl="0">
      <w:start w:val="1"/>
      <w:numFmt w:val="bullet"/>
      <w:pStyle w:val="1298"/>
      <w:isLgl w:val="false"/>
      <w:suff w:val="tab"/>
      <w:lvlText w:val="–"/>
      <w:lvlJc w:val="left"/>
      <w:pPr>
        <w:ind w:left="1418" w:hanging="284"/>
        <w:tabs>
          <w:tab w:val="num" w:pos="1418" w:leader="none"/>
        </w:tabs>
      </w:pPr>
      <w:rPr>
        <w:rFonts w:hint="default" w:ascii="Times New Roman" w:hAnsi="Times New Roman" w:cs="Times New Roman"/>
      </w:rPr>
    </w:lvl>
    <w:lvl w:ilvl="1">
      <w:start w:val="1"/>
      <w:numFmt w:val="bullet"/>
      <w:isLgl w:val="false"/>
      <w:suff w:val="tab"/>
      <w:lvlText w:val="o"/>
      <w:lvlJc w:val="left"/>
      <w:pPr>
        <w:ind w:left="1440" w:hanging="360"/>
        <w:tabs>
          <w:tab w:val="num" w:pos="1440" w:leader="none"/>
        </w:tabs>
      </w:pPr>
      <w:rPr>
        <w:rFonts w:hint="default" w:ascii="Courier New" w:hAnsi="Courier New" w:cs="Courier New"/>
      </w:rPr>
    </w:lvl>
    <w:lvl w:ilvl="2">
      <w:start w:val="1"/>
      <w:numFmt w:val="bullet"/>
      <w:isLgl w:val="false"/>
      <w:suff w:val="tab"/>
      <w:lvlText w:val=""/>
      <w:lvlJc w:val="left"/>
      <w:pPr>
        <w:ind w:left="2160" w:hanging="360"/>
        <w:tabs>
          <w:tab w:val="num" w:pos="2160" w:leader="none"/>
        </w:tabs>
      </w:pPr>
      <w:rPr>
        <w:rFonts w:hint="default" w:ascii="Wingdings" w:hAnsi="Wingdings"/>
      </w:rPr>
    </w:lvl>
    <w:lvl w:ilvl="3">
      <w:start w:val="1"/>
      <w:numFmt w:val="bullet"/>
      <w:isLgl w:val="false"/>
      <w:suff w:val="tab"/>
      <w:lvlText w:val=""/>
      <w:lvlJc w:val="left"/>
      <w:pPr>
        <w:ind w:left="2880" w:hanging="360"/>
        <w:tabs>
          <w:tab w:val="num" w:pos="2880" w:leader="none"/>
        </w:tabs>
      </w:pPr>
      <w:rPr>
        <w:rFonts w:hint="default" w:ascii="Symbol" w:hAnsi="Symbol"/>
      </w:rPr>
    </w:lvl>
    <w:lvl w:ilvl="4">
      <w:start w:val="1"/>
      <w:numFmt w:val="bullet"/>
      <w:isLgl w:val="false"/>
      <w:suff w:val="tab"/>
      <w:lvlText w:val="o"/>
      <w:lvlJc w:val="left"/>
      <w:pPr>
        <w:ind w:left="3600" w:hanging="360"/>
        <w:tabs>
          <w:tab w:val="num" w:pos="3600" w:leader="none"/>
        </w:tabs>
      </w:pPr>
      <w:rPr>
        <w:rFonts w:hint="default" w:ascii="Courier New" w:hAnsi="Courier New" w:cs="Courier New"/>
      </w:rPr>
    </w:lvl>
    <w:lvl w:ilvl="5">
      <w:start w:val="1"/>
      <w:numFmt w:val="bullet"/>
      <w:isLgl w:val="false"/>
      <w:suff w:val="tab"/>
      <w:lvlText w:val=""/>
      <w:lvlJc w:val="left"/>
      <w:pPr>
        <w:ind w:left="4320" w:hanging="360"/>
        <w:tabs>
          <w:tab w:val="num" w:pos="4320" w:leader="none"/>
        </w:tabs>
      </w:pPr>
      <w:rPr>
        <w:rFonts w:hint="default" w:ascii="Wingdings" w:hAnsi="Wingdings"/>
      </w:rPr>
    </w:lvl>
    <w:lvl w:ilvl="6">
      <w:start w:val="1"/>
      <w:numFmt w:val="bullet"/>
      <w:isLgl w:val="false"/>
      <w:suff w:val="tab"/>
      <w:lvlText w:val=""/>
      <w:lvlJc w:val="left"/>
      <w:pPr>
        <w:ind w:left="5040" w:hanging="360"/>
        <w:tabs>
          <w:tab w:val="num" w:pos="5040" w:leader="none"/>
        </w:tabs>
      </w:pPr>
      <w:rPr>
        <w:rFonts w:hint="default" w:ascii="Symbol" w:hAnsi="Symbol"/>
      </w:rPr>
    </w:lvl>
    <w:lvl w:ilvl="7">
      <w:start w:val="1"/>
      <w:numFmt w:val="bullet"/>
      <w:isLgl w:val="false"/>
      <w:suff w:val="tab"/>
      <w:lvlText w:val="o"/>
      <w:lvlJc w:val="left"/>
      <w:pPr>
        <w:ind w:left="5760" w:hanging="360"/>
        <w:tabs>
          <w:tab w:val="num" w:pos="5760" w:leader="none"/>
        </w:tabs>
      </w:pPr>
      <w:rPr>
        <w:rFonts w:hint="default" w:ascii="Courier New" w:hAnsi="Courier New" w:cs="Courier New"/>
      </w:rPr>
    </w:lvl>
    <w:lvl w:ilvl="8">
      <w:start w:val="1"/>
      <w:numFmt w:val="bullet"/>
      <w:isLgl w:val="false"/>
      <w:suff w:val="tab"/>
      <w:lvlText w:val=""/>
      <w:lvlJc w:val="left"/>
      <w:pPr>
        <w:ind w:left="6480" w:hanging="360"/>
        <w:tabs>
          <w:tab w:val="num" w:pos="6480" w:leader="none"/>
        </w:tabs>
      </w:pPr>
      <w:rPr>
        <w:rFonts w:hint="default" w:ascii="Wingdings" w:hAnsi="Wingdings"/>
      </w:rPr>
    </w:lvl>
  </w:abstractNum>
  <w:abstractNum w:abstractNumId="53">
    <w:multiLevelType w:val="hybridMultilevel"/>
    <w:lvl w:ilvl="0">
      <w:start w:val="1"/>
      <w:numFmt w:val="decimal"/>
      <w:pStyle w:val="1546"/>
      <w:isLgl w:val="false"/>
      <w:suff w:val="tab"/>
      <w:lvlText w:val="%1."/>
      <w:lvlJc w:val="left"/>
      <w:pPr>
        <w:ind w:left="1428" w:hanging="360"/>
        <w:tabs>
          <w:tab w:val="num" w:pos="1428" w:leader="none"/>
        </w:tabs>
      </w:pPr>
      <w:rPr>
        <w:sz w:val="24"/>
      </w:r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54">
    <w:multiLevelType w:val="hybridMultilevel"/>
    <w:lvl w:ilvl="0">
      <w:start w:val="1"/>
      <w:numFmt w:val="russianLower"/>
      <w:pStyle w:val="1645"/>
      <w:isLgl w:val="false"/>
      <w:suff w:val="tab"/>
      <w:lvlText w:val="%1)"/>
      <w:lvlJc w:val="left"/>
      <w:pPr>
        <w:ind w:left="567" w:hanging="454"/>
      </w:pPr>
      <w:rPr>
        <w:rFonts w:hint="default" w:ascii="Times New Roman" w:hAnsi="Times New Roman"/>
        <w:b w:val="0"/>
        <w:i w:val="0"/>
        <w:caps w:val="0"/>
        <w:strike w:val="0"/>
        <w:vanish w:val="0"/>
        <w:color w:val="000000"/>
        <w:spacing w:val="0"/>
        <w:position w:val="0"/>
        <w:sz w:val="24"/>
        <w:u w:val="none"/>
        <w:vertAlign w:val="baseline"/>
      </w:rPr>
    </w:lvl>
    <w:lvl w:ilvl="1">
      <w:start w:val="1"/>
      <w:numFmt w:val="decimal"/>
      <w:pStyle w:val="1647"/>
      <w:isLgl w:val="false"/>
      <w:suff w:val="tab"/>
      <w:lvlText w:val="%2)"/>
      <w:lvlJc w:val="left"/>
      <w:pPr>
        <w:ind w:left="680" w:hanging="453"/>
      </w:pPr>
      <w:rPr>
        <w:rFonts w:hint="default"/>
      </w:rPr>
    </w:lvl>
    <w:lvl w:ilvl="2">
      <w:start w:val="1"/>
      <w:numFmt w:val="lowerRoman"/>
      <w:isLgl w:val="false"/>
      <w:suff w:val="tab"/>
      <w:lvlText w:val="%3."/>
      <w:lvlJc w:val="right"/>
      <w:pPr>
        <w:ind w:left="2160" w:hanging="180"/>
      </w:pPr>
      <w:rPr>
        <w:rFonts w:hint="default"/>
      </w:rPr>
    </w:lvl>
    <w:lvl w:ilvl="3">
      <w:start w:val="1"/>
      <w:numFmt w:val="decimal"/>
      <w:isLgl w:val="false"/>
      <w:suff w:val="tab"/>
      <w:lvlText w:val="%4."/>
      <w:lvlJc w:val="left"/>
      <w:pPr>
        <w:ind w:left="2880" w:hanging="360"/>
      </w:pPr>
      <w:rPr>
        <w:rFonts w:hint="default"/>
      </w:rPr>
    </w:lvl>
    <w:lvl w:ilvl="4">
      <w:start w:val="1"/>
      <w:numFmt w:val="lowerLetter"/>
      <w:isLgl w:val="false"/>
      <w:suff w:val="tab"/>
      <w:lvlText w:val="%5."/>
      <w:lvlJc w:val="left"/>
      <w:pPr>
        <w:ind w:left="3600" w:hanging="360"/>
      </w:pPr>
      <w:rPr>
        <w:rFonts w:hint="default"/>
      </w:rPr>
    </w:lvl>
    <w:lvl w:ilvl="5">
      <w:start w:val="1"/>
      <w:numFmt w:val="lowerRoman"/>
      <w:isLgl w:val="false"/>
      <w:suff w:val="tab"/>
      <w:lvlText w:val="%6."/>
      <w:lvlJc w:val="right"/>
      <w:pPr>
        <w:ind w:left="4320" w:hanging="180"/>
      </w:pPr>
      <w:rPr>
        <w:rFonts w:hint="default"/>
      </w:rPr>
    </w:lvl>
    <w:lvl w:ilvl="6">
      <w:start w:val="1"/>
      <w:numFmt w:val="decimal"/>
      <w:isLgl w:val="false"/>
      <w:suff w:val="tab"/>
      <w:lvlText w:val="%7."/>
      <w:lvlJc w:val="left"/>
      <w:pPr>
        <w:ind w:left="5040" w:hanging="360"/>
      </w:pPr>
      <w:rPr>
        <w:rFonts w:hint="default"/>
      </w:rPr>
    </w:lvl>
    <w:lvl w:ilvl="7">
      <w:start w:val="1"/>
      <w:numFmt w:val="lowerLetter"/>
      <w:isLgl w:val="false"/>
      <w:suff w:val="tab"/>
      <w:lvlText w:val="%8."/>
      <w:lvlJc w:val="left"/>
      <w:pPr>
        <w:ind w:left="5760" w:hanging="360"/>
      </w:pPr>
      <w:rPr>
        <w:rFonts w:hint="default"/>
      </w:rPr>
    </w:lvl>
    <w:lvl w:ilvl="8">
      <w:start w:val="1"/>
      <w:numFmt w:val="lowerRoman"/>
      <w:isLgl w:val="false"/>
      <w:suff w:val="tab"/>
      <w:lvlText w:val="%9."/>
      <w:lvlJc w:val="right"/>
      <w:pPr>
        <w:ind w:left="6480" w:hanging="180"/>
      </w:pPr>
      <w:rPr>
        <w:rFonts w:hint="default"/>
      </w:rPr>
    </w:lvl>
  </w:abstractNum>
  <w:abstractNum w:abstractNumId="55">
    <w:multiLevelType w:val="hybridMultilevel"/>
    <w:styleLink w:val="1864"/>
    <w:lvl w:ilvl="0">
      <w:start w:val="1"/>
      <w:numFmt w:val="decimal"/>
      <w:pStyle w:val="1862"/>
      <w:isLgl w:val="false"/>
      <w:suff w:val="tab"/>
      <w:lvlText w:val="%1)"/>
      <w:lvlJc w:val="left"/>
      <w:pPr>
        <w:ind w:left="1575" w:hanging="1008"/>
        <w:tabs>
          <w:tab w:val="num" w:pos="1575" w:leader="none"/>
        </w:tabs>
      </w:pPr>
      <w:rPr>
        <w:rFonts w:hint="default"/>
      </w:rPr>
    </w:lvl>
    <w:lvl w:ilvl="1">
      <w:start w:val="1"/>
      <w:numFmt w:val="lowerLetter"/>
      <w:isLgl w:val="false"/>
      <w:suff w:val="tab"/>
      <w:lvlText w:val="%2."/>
      <w:lvlJc w:val="left"/>
      <w:pPr>
        <w:ind w:left="1647" w:hanging="360"/>
        <w:tabs>
          <w:tab w:val="num" w:pos="1647" w:leader="none"/>
        </w:tabs>
      </w:pPr>
    </w:lvl>
    <w:lvl w:ilvl="2">
      <w:start w:val="1"/>
      <w:numFmt w:val="lowerRoman"/>
      <w:isLgl w:val="false"/>
      <w:suff w:val="tab"/>
      <w:lvlText w:val="%3."/>
      <w:lvlJc w:val="right"/>
      <w:pPr>
        <w:ind w:left="2367" w:hanging="180"/>
        <w:tabs>
          <w:tab w:val="num" w:pos="2367" w:leader="none"/>
        </w:tabs>
      </w:pPr>
    </w:lvl>
    <w:lvl w:ilvl="3">
      <w:start w:val="1"/>
      <w:numFmt w:val="decimal"/>
      <w:isLgl w:val="false"/>
      <w:suff w:val="tab"/>
      <w:lvlText w:val="%4."/>
      <w:lvlJc w:val="left"/>
      <w:pPr>
        <w:ind w:left="3087" w:hanging="360"/>
        <w:tabs>
          <w:tab w:val="num" w:pos="3087" w:leader="none"/>
        </w:tabs>
      </w:pPr>
    </w:lvl>
    <w:lvl w:ilvl="4">
      <w:start w:val="1"/>
      <w:numFmt w:val="lowerLetter"/>
      <w:isLgl w:val="false"/>
      <w:suff w:val="tab"/>
      <w:lvlText w:val="%5."/>
      <w:lvlJc w:val="left"/>
      <w:pPr>
        <w:ind w:left="3807" w:hanging="360"/>
        <w:tabs>
          <w:tab w:val="num" w:pos="3807" w:leader="none"/>
        </w:tabs>
      </w:pPr>
    </w:lvl>
    <w:lvl w:ilvl="5">
      <w:start w:val="1"/>
      <w:numFmt w:val="lowerRoman"/>
      <w:isLgl w:val="false"/>
      <w:suff w:val="tab"/>
      <w:lvlText w:val="%6."/>
      <w:lvlJc w:val="right"/>
      <w:pPr>
        <w:ind w:left="4527" w:hanging="180"/>
        <w:tabs>
          <w:tab w:val="num" w:pos="4527" w:leader="none"/>
        </w:tabs>
      </w:pPr>
    </w:lvl>
    <w:lvl w:ilvl="6">
      <w:start w:val="1"/>
      <w:numFmt w:val="decimal"/>
      <w:isLgl w:val="false"/>
      <w:suff w:val="tab"/>
      <w:lvlText w:val="%7."/>
      <w:lvlJc w:val="left"/>
      <w:pPr>
        <w:ind w:left="5247" w:hanging="360"/>
        <w:tabs>
          <w:tab w:val="num" w:pos="5247" w:leader="none"/>
        </w:tabs>
      </w:pPr>
    </w:lvl>
    <w:lvl w:ilvl="7">
      <w:start w:val="1"/>
      <w:numFmt w:val="lowerLetter"/>
      <w:isLgl w:val="false"/>
      <w:suff w:val="tab"/>
      <w:lvlText w:val="%8."/>
      <w:lvlJc w:val="left"/>
      <w:pPr>
        <w:ind w:left="5967" w:hanging="360"/>
        <w:tabs>
          <w:tab w:val="num" w:pos="5967" w:leader="none"/>
        </w:tabs>
      </w:pPr>
    </w:lvl>
    <w:lvl w:ilvl="8">
      <w:start w:val="1"/>
      <w:numFmt w:val="lowerRoman"/>
      <w:isLgl w:val="false"/>
      <w:suff w:val="tab"/>
      <w:lvlText w:val="%9."/>
      <w:lvlJc w:val="right"/>
      <w:pPr>
        <w:ind w:left="6687" w:hanging="180"/>
        <w:tabs>
          <w:tab w:val="num" w:pos="6687" w:leader="none"/>
        </w:tabs>
      </w:pPr>
    </w:lvl>
  </w:abstractNum>
  <w:abstractNum w:abstractNumId="56">
    <w:multiLevelType w:val="hybridMultilevel"/>
    <w:lvl w:ilvl="0">
      <w:start w:val="1"/>
      <w:numFmt w:val="russianUpper"/>
      <w:pStyle w:val="1520"/>
      <w:isLgl w:val="false"/>
      <w:suff w:val="tab"/>
      <w:lvlText w:val="Приложение %1."/>
      <w:lvlJc w:val="left"/>
      <w:pPr>
        <w:ind w:left="360" w:hanging="360"/>
        <w:tabs>
          <w:tab w:val="num" w:pos="0" w:leader="none"/>
        </w:tabs>
      </w:pPr>
      <w:rPr>
        <w:rFonts w:hint="default" w:ascii="Times New Roman" w:hAnsi="Times New Roman"/>
        <w:sz w:val="32"/>
      </w:rPr>
    </w:lvl>
    <w:lvl w:ilvl="1">
      <w:start w:val="1"/>
      <w:numFmt w:val="decimal"/>
      <w:pStyle w:val="1524"/>
      <w:isLgl w:val="false"/>
      <w:suff w:val="tab"/>
      <w:lvlText w:val="%1.%2"/>
      <w:lvlJc w:val="left"/>
      <w:pPr>
        <w:ind w:left="720" w:hanging="360"/>
        <w:tabs>
          <w:tab w:val="num" w:pos="0" w:leader="none"/>
        </w:tabs>
      </w:pPr>
      <w:rPr>
        <w:rFonts w:hint="default"/>
      </w:rPr>
    </w:lvl>
    <w:lvl w:ilvl="2">
      <w:start w:val="1"/>
      <w:numFmt w:val="decimal"/>
      <w:pStyle w:val="1525"/>
      <w:isLgl w:val="false"/>
      <w:suff w:val="tab"/>
      <w:lvlText w:val="%1.%2.%3"/>
      <w:lvlJc w:val="left"/>
      <w:pPr>
        <w:ind w:left="1080" w:hanging="360"/>
        <w:tabs>
          <w:tab w:val="num" w:pos="0" w:leader="none"/>
        </w:tabs>
      </w:pPr>
      <w:rPr>
        <w:rFonts w:hint="default"/>
      </w:rPr>
    </w:lvl>
    <w:lvl w:ilvl="3">
      <w:start w:val="1"/>
      <w:numFmt w:val="decimal"/>
      <w:pStyle w:val="1526"/>
      <w:isLgl w:val="false"/>
      <w:suff w:val="tab"/>
      <w:lvlText w:val="%1.%2.%3.%4"/>
      <w:lvlJc w:val="left"/>
      <w:pPr>
        <w:ind w:left="1440" w:hanging="360"/>
        <w:tabs>
          <w:tab w:val="num" w:pos="0" w:leader="none"/>
        </w:tabs>
      </w:pPr>
      <w:rPr>
        <w:rFonts w:hint="default"/>
      </w:rPr>
    </w:lvl>
    <w:lvl w:ilvl="4">
      <w:start w:val="1"/>
      <w:numFmt w:val="decimal"/>
      <w:pStyle w:val="1527"/>
      <w:isLgl w:val="false"/>
      <w:suff w:val="tab"/>
      <w:lvlText w:val="%1.%2.%3.%4.%5"/>
      <w:lvlJc w:val="left"/>
      <w:pPr>
        <w:ind w:left="1800" w:hanging="360"/>
        <w:tabs>
          <w:tab w:val="num" w:pos="0" w:leader="none"/>
        </w:tabs>
      </w:pPr>
      <w:rPr>
        <w:rFonts w:hint="default"/>
      </w:rPr>
    </w:lvl>
    <w:lvl w:ilvl="5">
      <w:start w:val="1"/>
      <w:numFmt w:val="lowerRoman"/>
      <w:isLgl w:val="false"/>
      <w:suff w:val="tab"/>
      <w:lvlText w:val="(%6)"/>
      <w:lvlJc w:val="left"/>
      <w:pPr>
        <w:ind w:left="2160" w:hanging="360"/>
        <w:tabs>
          <w:tab w:val="num" w:pos="0" w:leader="none"/>
        </w:tabs>
      </w:pPr>
      <w:rPr>
        <w:rFonts w:hint="default"/>
      </w:rPr>
    </w:lvl>
    <w:lvl w:ilvl="6">
      <w:start w:val="1"/>
      <w:numFmt w:val="decimal"/>
      <w:isLgl w:val="false"/>
      <w:suff w:val="tab"/>
      <w:lvlText w:val="%7."/>
      <w:lvlJc w:val="left"/>
      <w:pPr>
        <w:ind w:left="2520" w:hanging="360"/>
        <w:tabs>
          <w:tab w:val="num" w:pos="0" w:leader="none"/>
        </w:tabs>
      </w:pPr>
      <w:rPr>
        <w:rFonts w:hint="default"/>
      </w:rPr>
    </w:lvl>
    <w:lvl w:ilvl="7">
      <w:start w:val="1"/>
      <w:numFmt w:val="lowerLetter"/>
      <w:isLgl w:val="false"/>
      <w:suff w:val="tab"/>
      <w:lvlText w:val="%8."/>
      <w:lvlJc w:val="left"/>
      <w:pPr>
        <w:ind w:left="2880" w:hanging="360"/>
        <w:tabs>
          <w:tab w:val="num" w:pos="0" w:leader="none"/>
        </w:tabs>
      </w:pPr>
      <w:rPr>
        <w:rFonts w:hint="default"/>
      </w:rPr>
    </w:lvl>
    <w:lvl w:ilvl="8">
      <w:start w:val="1"/>
      <w:numFmt w:val="lowerRoman"/>
      <w:isLgl w:val="false"/>
      <w:suff w:val="tab"/>
      <w:lvlText w:val="%9."/>
      <w:lvlJc w:val="left"/>
      <w:pPr>
        <w:ind w:left="3240" w:hanging="360"/>
        <w:tabs>
          <w:tab w:val="num" w:pos="0" w:leader="none"/>
        </w:tabs>
      </w:pPr>
      <w:rPr>
        <w:rFonts w:hint="default"/>
      </w:rPr>
    </w:lvl>
  </w:abstractNum>
  <w:abstractNum w:abstractNumId="57">
    <w:multiLevelType w:val="hybridMultilevel"/>
    <w:lvl w:ilvl="0">
      <w:start w:val="1"/>
      <w:numFmt w:val="russianLower"/>
      <w:pStyle w:val="1627"/>
      <w:isLgl w:val="false"/>
      <w:suff w:val="tab"/>
      <w:lvlText w:val="%1)"/>
      <w:lvlJc w:val="left"/>
      <w:pPr>
        <w:ind w:left="1134" w:hanging="425"/>
        <w:tabs>
          <w:tab w:val="num" w:pos="1134" w:leader="none"/>
        </w:tabs>
      </w:pPr>
      <w:rPr>
        <w:rFonts w:hint="default" w:ascii="Times New Roman" w:hAnsi="Times New Roman" w:cs="Times New Roman"/>
        <w:b w:val="0"/>
        <w:bCs w:val="0"/>
        <w:i w:val="0"/>
        <w:iCs w:val="0"/>
        <w:caps w:val="0"/>
        <w:smallCaps w:val="0"/>
        <w:strike w:val="0"/>
        <w:vanish w:val="0"/>
        <w:color w:val="000000"/>
        <w:spacing w:val="0"/>
        <w:position w:val="0"/>
        <w:szCs w:val="0"/>
        <w:u w:val="none"/>
        <w:vertAlign w:val="baseline"/>
      </w:rPr>
    </w:lvl>
    <w:lvl w:ilvl="1">
      <w:start w:val="1"/>
      <w:numFmt w:val="decimal"/>
      <w:pStyle w:val="1628"/>
      <w:isLgl w:val="false"/>
      <w:suff w:val="tab"/>
      <w:lvlText w:val="%2)"/>
      <w:lvlJc w:val="left"/>
      <w:pPr>
        <w:ind w:left="1559" w:hanging="425"/>
        <w:tabs>
          <w:tab w:val="num" w:pos="1559" w:leader="none"/>
        </w:tabs>
      </w:pPr>
      <w:rPr>
        <w:rFonts w:hint="default" w:ascii="Times New Roman" w:hAnsi="Times New Roman"/>
        <w:b w:val="0"/>
        <w:i w:val="0"/>
        <w:caps w:val="0"/>
        <w:strike w:val="0"/>
        <w:vanish w:val="0"/>
        <w:color w:val="000000"/>
        <w:spacing w:val="0"/>
        <w:position w:val="0"/>
        <w:sz w:val="24"/>
        <w:u w:val="none"/>
        <w:vertAlign w:val="baseline"/>
      </w:rPr>
    </w:lvl>
    <w:lvl w:ilvl="2">
      <w:start w:val="1"/>
      <w:numFmt w:val="none"/>
      <w:pStyle w:val="1629"/>
      <w:isLgl w:val="false"/>
      <w:suff w:val="tab"/>
      <w:lvlText w:val="-"/>
      <w:lvlJc w:val="left"/>
      <w:pPr>
        <w:ind w:left="1985" w:hanging="426"/>
        <w:tabs>
          <w:tab w:val="num" w:pos="1985" w:leader="none"/>
        </w:tabs>
      </w:pPr>
      <w:rPr>
        <w:rFonts w:hint="default" w:ascii="Times New Roman" w:hAnsi="Times New Roman"/>
        <w:b w:val="0"/>
        <w:i w:val="0"/>
        <w:caps w:val="0"/>
        <w:strike w:val="0"/>
        <w:vanish w:val="0"/>
        <w:color w:val="auto"/>
        <w:spacing w:val="0"/>
        <w:position w:val="0"/>
        <w:sz w:val="24"/>
        <w:u w:val="none"/>
        <w:vertAlign w:val="baseline"/>
      </w:rPr>
    </w:lvl>
    <w:lvl w:ilvl="3">
      <w:start w:val="1"/>
      <w:numFmt w:val="none"/>
      <w:pStyle w:val="1630"/>
      <w:isLgl w:val="false"/>
      <w:suff w:val="tab"/>
      <w:lvlText w:val="-"/>
      <w:lvlJc w:val="left"/>
      <w:pPr>
        <w:ind w:left="2410" w:hanging="425"/>
        <w:tabs>
          <w:tab w:val="num" w:pos="2410" w:leader="none"/>
        </w:tabs>
      </w:pPr>
      <w:rPr>
        <w:rFonts w:hint="default" w:ascii="Times New Roman" w:hAnsi="Times New Roman"/>
        <w:b w:val="0"/>
        <w:i w:val="0"/>
        <w:caps w:val="0"/>
        <w:strike w:val="0"/>
        <w:vanish w:val="0"/>
        <w:color w:val="auto"/>
        <w:spacing w:val="0"/>
        <w:position w:val="0"/>
        <w:sz w:val="24"/>
        <w:u w:val="none"/>
        <w:vertAlign w:val="baseline"/>
      </w:rPr>
    </w:lvl>
    <w:lvl w:ilvl="4">
      <w:start w:val="1"/>
      <w:numFmt w:val="none"/>
      <w:pStyle w:val="1631"/>
      <w:isLgl w:val="false"/>
      <w:suff w:val="tab"/>
      <w:lvlText w:val="-"/>
      <w:lvlJc w:val="left"/>
      <w:pPr>
        <w:ind w:left="2835" w:hanging="425"/>
        <w:tabs>
          <w:tab w:val="num" w:pos="2835" w:leader="none"/>
        </w:tabs>
      </w:pPr>
      <w:rPr>
        <w:rFonts w:hint="default" w:ascii="Times New Roman" w:hAnsi="Times New Roman"/>
        <w:b w:val="0"/>
        <w:i w:val="0"/>
        <w:caps w:val="0"/>
        <w:strike w:val="0"/>
        <w:vanish w:val="0"/>
        <w:color w:val="auto"/>
        <w:sz w:val="24"/>
        <w:u w:val="none"/>
        <w:vertAlign w:val="baseline"/>
      </w:rPr>
    </w:lvl>
    <w:lvl w:ilvl="5">
      <w:start w:val="1"/>
      <w:numFmt w:val="none"/>
      <w:pStyle w:val="1632"/>
      <w:isLgl w:val="false"/>
      <w:suff w:val="tab"/>
      <w:lvlText w:val="-"/>
      <w:lvlJc w:val="left"/>
      <w:pPr>
        <w:ind w:left="3260" w:hanging="425"/>
        <w:tabs>
          <w:tab w:val="num" w:pos="3260" w:leader="none"/>
        </w:tabs>
      </w:pPr>
      <w:rPr>
        <w:rFonts w:hint="default" w:ascii="Times New Roman" w:hAnsi="Times New Roman"/>
        <w:b w:val="0"/>
        <w:i w:val="0"/>
        <w:caps w:val="0"/>
        <w:strike w:val="0"/>
        <w:vanish w:val="0"/>
        <w:color w:val="auto"/>
        <w:spacing w:val="0"/>
        <w:position w:val="0"/>
        <w:sz w:val="24"/>
        <w:vertAlign w:val="baseline"/>
      </w:rPr>
    </w:lvl>
    <w:lvl w:ilvl="6">
      <w:start w:val="1"/>
      <w:numFmt w:val="none"/>
      <w:isLgl w:val="false"/>
      <w:suff w:val="tab"/>
      <w:lvlText w:val="-"/>
      <w:lvlJc w:val="left"/>
      <w:pPr>
        <w:ind w:left="3260" w:hanging="425"/>
        <w:tabs>
          <w:tab w:val="num" w:pos="2835" w:leader="none"/>
        </w:tabs>
      </w:pPr>
      <w:rPr>
        <w:rFonts w:hint="default"/>
      </w:rPr>
    </w:lvl>
    <w:lvl w:ilvl="7">
      <w:start w:val="1"/>
      <w:numFmt w:val="none"/>
      <w:isLgl w:val="false"/>
      <w:suff w:val="tab"/>
      <w:lvlText w:val="-"/>
      <w:lvlJc w:val="left"/>
      <w:pPr>
        <w:ind w:left="3260" w:hanging="425"/>
      </w:pPr>
      <w:rPr>
        <w:rFonts w:hint="default"/>
      </w:rPr>
    </w:lvl>
    <w:lvl w:ilvl="8">
      <w:start w:val="1"/>
      <w:numFmt w:val="none"/>
      <w:isLgl w:val="false"/>
      <w:suff w:val="tab"/>
      <w:lvlText w:val="-"/>
      <w:lvlJc w:val="left"/>
      <w:pPr>
        <w:ind w:left="3260" w:hanging="425"/>
      </w:pPr>
      <w:rPr>
        <w:rFonts w:hint="default"/>
      </w:rPr>
    </w:lvl>
  </w:abstractNum>
  <w:abstractNum w:abstractNumId="58">
    <w:multiLevelType w:val="hybridMultilevel"/>
    <w:styleLink w:val="2025"/>
    <w:lvl w:ilvl="0">
      <w:start w:val="1"/>
      <w:numFmt w:val="decimal"/>
      <w:pStyle w:val="2025"/>
      <w:isLgl w:val="false"/>
      <w:suff w:val="tab"/>
      <w:lvlText w:val="1.12.%1."/>
      <w:lvlJc w:val="left"/>
      <w:pPr>
        <w:ind w:left="720" w:hanging="360"/>
      </w:pPr>
      <w:rPr>
        <w:rFonts w:hint="default" w:cs="Times New Roman"/>
      </w:rPr>
    </w:lvl>
    <w:lvl w:ilvl="1">
      <w:start w:val="1"/>
      <w:numFmt w:val="lowerLetter"/>
      <w:isLgl w:val="false"/>
      <w:suff w:val="tab"/>
      <w:lvlText w:val="%2."/>
      <w:lvlJc w:val="left"/>
      <w:pPr>
        <w:ind w:left="1495" w:hanging="360"/>
      </w:pPr>
      <w:rPr>
        <w:rFonts w:cs="Times New Roman"/>
      </w:rPr>
    </w:lvl>
    <w:lvl w:ilvl="2">
      <w:start w:val="9"/>
      <w:numFmt w:val="decimal"/>
      <w:isLgl w:val="false"/>
      <w:suff w:val="tab"/>
      <w:lvlText w:val="%3."/>
      <w:lvlJc w:val="left"/>
      <w:pPr>
        <w:ind w:left="2340" w:hanging="360"/>
        <w:tabs>
          <w:tab w:val="num" w:pos="2340" w:leader="none"/>
        </w:tabs>
      </w:pPr>
      <w:rPr>
        <w:rFonts w:hint="default" w:cs="Times New Roman"/>
      </w:rPr>
    </w:lvl>
    <w:lvl w:ilvl="3">
      <w:start w:val="1"/>
      <w:numFmt w:val="decimal"/>
      <w:isLgl w:val="false"/>
      <w:suff w:val="tab"/>
      <w:lvlText w:val="%4."/>
      <w:lvlJc w:val="left"/>
      <w:pPr>
        <w:ind w:left="2880" w:hanging="360"/>
      </w:pPr>
      <w:rPr>
        <w:rFonts w:cs="Times New Roman"/>
      </w:rPr>
    </w:lvl>
    <w:lvl w:ilvl="4">
      <w:start w:val="1"/>
      <w:numFmt w:val="lowerLetter"/>
      <w:isLgl w:val="false"/>
      <w:suff w:val="tab"/>
      <w:lvlText w:val="%5."/>
      <w:lvlJc w:val="left"/>
      <w:pPr>
        <w:ind w:left="3600" w:hanging="360"/>
      </w:pPr>
      <w:rPr>
        <w:rFonts w:cs="Times New Roman"/>
      </w:rPr>
    </w:lvl>
    <w:lvl w:ilvl="5">
      <w:start w:val="1"/>
      <w:numFmt w:val="lowerRoman"/>
      <w:isLgl w:val="false"/>
      <w:suff w:val="tab"/>
      <w:lvlText w:val="%6."/>
      <w:lvlJc w:val="right"/>
      <w:pPr>
        <w:ind w:left="4320" w:hanging="180"/>
      </w:pPr>
      <w:rPr>
        <w:rFonts w:cs="Times New Roman"/>
      </w:rPr>
    </w:lvl>
    <w:lvl w:ilvl="6">
      <w:start w:val="1"/>
      <w:numFmt w:val="decimal"/>
      <w:isLgl w:val="false"/>
      <w:suff w:val="tab"/>
      <w:lvlText w:val="%7."/>
      <w:lvlJc w:val="left"/>
      <w:pPr>
        <w:ind w:left="5040" w:hanging="360"/>
      </w:pPr>
      <w:rPr>
        <w:rFonts w:cs="Times New Roman"/>
      </w:rPr>
    </w:lvl>
    <w:lvl w:ilvl="7">
      <w:start w:val="1"/>
      <w:numFmt w:val="lowerLetter"/>
      <w:isLgl w:val="false"/>
      <w:suff w:val="tab"/>
      <w:lvlText w:val="%8."/>
      <w:lvlJc w:val="left"/>
      <w:pPr>
        <w:ind w:left="5760" w:hanging="360"/>
      </w:pPr>
      <w:rPr>
        <w:rFonts w:cs="Times New Roman"/>
      </w:rPr>
    </w:lvl>
    <w:lvl w:ilvl="8">
      <w:start w:val="1"/>
      <w:numFmt w:val="lowerRoman"/>
      <w:isLgl w:val="false"/>
      <w:suff w:val="tab"/>
      <w:lvlText w:val="%9."/>
      <w:lvlJc w:val="right"/>
      <w:pPr>
        <w:ind w:left="6480" w:hanging="180"/>
      </w:pPr>
      <w:rPr>
        <w:rFonts w:cs="Times New Roman"/>
      </w:rPr>
    </w:lvl>
  </w:abstractNum>
  <w:abstractNum w:abstractNumId="59">
    <w:multiLevelType w:val="hybridMultilevel"/>
    <w:lvl w:ilvl="0">
      <w:start w:val="1"/>
      <w:numFmt w:val="decimal"/>
      <w:pStyle w:val="1658"/>
      <w:isLgl w:val="false"/>
      <w:suff w:val="tab"/>
      <w:lvlText w:val="%1)"/>
      <w:lvlJc w:val="left"/>
      <w:pPr>
        <w:ind w:left="1134" w:hanging="425"/>
        <w:tabs>
          <w:tab w:val="num" w:pos="1134" w:leader="none"/>
        </w:tabs>
      </w:pPr>
      <w:rPr>
        <w:rFonts w:hint="default" w:cs="Times New Roman"/>
      </w:rPr>
    </w:lvl>
    <w:lvl w:ilvl="1">
      <w:start w:val="1"/>
      <w:numFmt w:val="decimal"/>
      <w:isLgl w:val="false"/>
      <w:suff w:val="tab"/>
      <w:lvlText w:val="%1.%2)"/>
      <w:lvlJc w:val="left"/>
      <w:pPr>
        <w:ind w:left="1701" w:hanging="567"/>
        <w:tabs>
          <w:tab w:val="num" w:pos="1701" w:leader="none"/>
        </w:tabs>
      </w:pPr>
      <w:rPr>
        <w:rFonts w:hint="default" w:cs="Times New Roman"/>
      </w:rPr>
    </w:lvl>
    <w:lvl w:ilvl="2">
      <w:start w:val="1"/>
      <w:numFmt w:val="decimal"/>
      <w:isLgl w:val="false"/>
      <w:suff w:val="tab"/>
      <w:lvlText w:val="2.%2.2."/>
      <w:lvlJc w:val="left"/>
      <w:pPr>
        <w:ind w:left="1224" w:hanging="504"/>
        <w:tabs>
          <w:tab w:val="num" w:pos="0" w:leader="none"/>
        </w:tabs>
      </w:pPr>
      <w:rPr>
        <w:rFonts w:hint="default" w:cs="Times New Roman"/>
      </w:rPr>
    </w:lvl>
    <w:lvl w:ilvl="3">
      <w:start w:val="1"/>
      <w:numFmt w:val="decimal"/>
      <w:isLgl w:val="false"/>
      <w:suff w:val="tab"/>
      <w:lvlText w:val="%1.%2.%3.%4."/>
      <w:lvlJc w:val="left"/>
      <w:pPr>
        <w:ind w:left="1728" w:hanging="648"/>
        <w:tabs>
          <w:tab w:val="num" w:pos="0" w:leader="none"/>
        </w:tabs>
      </w:pPr>
      <w:rPr>
        <w:rFonts w:hint="default" w:cs="Times New Roman"/>
      </w:rPr>
    </w:lvl>
    <w:lvl w:ilvl="4">
      <w:start w:val="1"/>
      <w:numFmt w:val="decimal"/>
      <w:isLgl w:val="false"/>
      <w:suff w:val="tab"/>
      <w:lvlText w:val="%1.%2.%3.%4.%5."/>
      <w:lvlJc w:val="left"/>
      <w:pPr>
        <w:ind w:left="2232" w:hanging="792"/>
        <w:tabs>
          <w:tab w:val="num" w:pos="0" w:leader="none"/>
        </w:tabs>
      </w:pPr>
      <w:rPr>
        <w:rFonts w:hint="default" w:cs="Times New Roman"/>
      </w:rPr>
    </w:lvl>
    <w:lvl w:ilvl="5">
      <w:start w:val="1"/>
      <w:numFmt w:val="decimal"/>
      <w:isLgl w:val="false"/>
      <w:suff w:val="tab"/>
      <w:lvlText w:val="%1.%2.%3.%4.%5.%6."/>
      <w:lvlJc w:val="left"/>
      <w:pPr>
        <w:ind w:left="2736" w:hanging="936"/>
        <w:tabs>
          <w:tab w:val="num" w:pos="0" w:leader="none"/>
        </w:tabs>
      </w:pPr>
      <w:rPr>
        <w:rFonts w:hint="default" w:cs="Times New Roman"/>
      </w:rPr>
    </w:lvl>
    <w:lvl w:ilvl="6">
      <w:start w:val="1"/>
      <w:numFmt w:val="decimal"/>
      <w:isLgl w:val="false"/>
      <w:suff w:val="tab"/>
      <w:lvlText w:val="%1.%2.%3.%4.%5.%6.%7."/>
      <w:lvlJc w:val="left"/>
      <w:pPr>
        <w:ind w:left="3240" w:hanging="1080"/>
        <w:tabs>
          <w:tab w:val="num" w:pos="0" w:leader="none"/>
        </w:tabs>
      </w:pPr>
      <w:rPr>
        <w:rFonts w:hint="default" w:cs="Times New Roman"/>
      </w:rPr>
    </w:lvl>
    <w:lvl w:ilvl="7">
      <w:start w:val="1"/>
      <w:numFmt w:val="decimal"/>
      <w:isLgl w:val="false"/>
      <w:suff w:val="tab"/>
      <w:lvlText w:val="%1.%2.%3.%4.%5.%6.%7.%8."/>
      <w:lvlJc w:val="left"/>
      <w:pPr>
        <w:ind w:left="3744" w:hanging="1224"/>
        <w:tabs>
          <w:tab w:val="num" w:pos="0" w:leader="none"/>
        </w:tabs>
      </w:pPr>
      <w:rPr>
        <w:rFonts w:hint="default" w:cs="Times New Roman"/>
      </w:rPr>
    </w:lvl>
    <w:lvl w:ilvl="8">
      <w:start w:val="1"/>
      <w:numFmt w:val="decimal"/>
      <w:isLgl w:val="false"/>
      <w:suff w:val="tab"/>
      <w:lvlText w:val="%1.%2.%3.%4.%5.%6.%7.%8.%9."/>
      <w:lvlJc w:val="left"/>
      <w:pPr>
        <w:ind w:left="4320" w:hanging="1440"/>
        <w:tabs>
          <w:tab w:val="num" w:pos="0" w:leader="none"/>
        </w:tabs>
      </w:pPr>
      <w:rPr>
        <w:rFonts w:hint="default" w:cs="Times New Roman"/>
      </w:rPr>
    </w:lvl>
  </w:abstractNum>
  <w:abstractNum w:abstractNumId="60">
    <w:multiLevelType w:val="hybridMultilevel"/>
    <w:lvl w:ilvl="0">
      <w:start w:val="1"/>
      <w:numFmt w:val="decimal"/>
      <w:isLgl w:val="false"/>
      <w:suff w:val="tab"/>
      <w:lvlText w:val="%1."/>
      <w:lvlJc w:val="left"/>
      <w:pPr>
        <w:ind w:left="360" w:hanging="360"/>
        <w:tabs>
          <w:tab w:val="num" w:pos="360" w:leader="none"/>
        </w:tabs>
      </w:pPr>
      <w:rPr>
        <w:rFonts w:cs="Times New Roman"/>
      </w:rPr>
    </w:lvl>
    <w:lvl w:ilvl="1">
      <w:start w:val="1"/>
      <w:numFmt w:val="decimal"/>
      <w:pStyle w:val="1929"/>
      <w:isLgl w:val="false"/>
      <w:suff w:val="tab"/>
      <w:lvlText w:val="%1.%2."/>
      <w:lvlJc w:val="left"/>
      <w:pPr>
        <w:ind w:left="792" w:hanging="432"/>
        <w:tabs>
          <w:tab w:val="num" w:pos="792" w:leader="none"/>
        </w:tabs>
      </w:pPr>
      <w:rPr>
        <w:rFonts w:cs="Times New Roman"/>
      </w:rPr>
    </w:lvl>
    <w:lvl w:ilvl="2">
      <w:start w:val="1"/>
      <w:numFmt w:val="decimal"/>
      <w:pStyle w:val="1930"/>
      <w:isLgl w:val="false"/>
      <w:suff w:val="tab"/>
      <w:lvlText w:val="%1.%2.%3."/>
      <w:lvlJc w:val="left"/>
      <w:pPr>
        <w:ind w:left="4332" w:hanging="504"/>
        <w:tabs>
          <w:tab w:val="num" w:pos="4548" w:leader="none"/>
        </w:tabs>
      </w:pPr>
      <w:rPr>
        <w:rFonts w:cs="Times New Roman"/>
        <w:b/>
        <w:i w:val="0"/>
      </w:rPr>
    </w:lvl>
    <w:lvl w:ilvl="3">
      <w:start w:val="1"/>
      <w:numFmt w:val="decimal"/>
      <w:pStyle w:val="1931"/>
      <w:isLgl w:val="false"/>
      <w:suff w:val="tab"/>
      <w:lvlText w:val="%1.%2.%3.%4."/>
      <w:lvlJc w:val="left"/>
      <w:pPr>
        <w:ind w:left="2088" w:hanging="648"/>
        <w:tabs>
          <w:tab w:val="num" w:pos="2160" w:leader="none"/>
        </w:tabs>
      </w:pPr>
      <w:rPr>
        <w:rFonts w:cs="Times New Roman"/>
      </w:rPr>
    </w:lvl>
    <w:lvl w:ilvl="4">
      <w:start w:val="1"/>
      <w:numFmt w:val="decimal"/>
      <w:pStyle w:val="1932"/>
      <w:isLgl w:val="false"/>
      <w:suff w:val="tab"/>
      <w:lvlText w:val="%1.%2.%3.%4.%5."/>
      <w:lvlJc w:val="left"/>
      <w:pPr>
        <w:ind w:left="2232" w:hanging="792"/>
        <w:tabs>
          <w:tab w:val="num" w:pos="2520" w:leader="none"/>
        </w:tabs>
      </w:pPr>
      <w:rPr>
        <w:rFonts w:cs="Times New Roman"/>
      </w:rPr>
    </w:lvl>
    <w:lvl w:ilvl="5">
      <w:start w:val="1"/>
      <w:numFmt w:val="decimal"/>
      <w:isLgl w:val="false"/>
      <w:suff w:val="tab"/>
      <w:lvlText w:val="%1.%2.%3.%4.%5.%6."/>
      <w:lvlJc w:val="left"/>
      <w:pPr>
        <w:ind w:left="2736" w:hanging="936"/>
        <w:tabs>
          <w:tab w:val="num" w:pos="2880" w:leader="none"/>
        </w:tabs>
      </w:pPr>
      <w:rPr>
        <w:rFonts w:cs="Times New Roman"/>
      </w:rPr>
    </w:lvl>
    <w:lvl w:ilvl="6">
      <w:start w:val="1"/>
      <w:numFmt w:val="decimal"/>
      <w:isLgl w:val="false"/>
      <w:suff w:val="tab"/>
      <w:lvlText w:val="%1.%2.%3.%4.%5.%6.%7."/>
      <w:lvlJc w:val="left"/>
      <w:pPr>
        <w:ind w:left="3240" w:hanging="1080"/>
        <w:tabs>
          <w:tab w:val="num" w:pos="3600" w:leader="none"/>
        </w:tabs>
      </w:pPr>
      <w:rPr>
        <w:rFonts w:cs="Times New Roman"/>
      </w:rPr>
    </w:lvl>
    <w:lvl w:ilvl="7">
      <w:start w:val="1"/>
      <w:numFmt w:val="decimal"/>
      <w:isLgl w:val="false"/>
      <w:suff w:val="tab"/>
      <w:lvlText w:val="%1.%2.%3.%4.%5.%6.%7.%8."/>
      <w:lvlJc w:val="left"/>
      <w:pPr>
        <w:ind w:left="3744" w:hanging="1224"/>
        <w:tabs>
          <w:tab w:val="num" w:pos="3960" w:leader="none"/>
        </w:tabs>
      </w:pPr>
      <w:rPr>
        <w:rFonts w:cs="Times New Roman"/>
      </w:rPr>
    </w:lvl>
    <w:lvl w:ilvl="8">
      <w:start w:val="1"/>
      <w:numFmt w:val="decimal"/>
      <w:isLgl w:val="false"/>
      <w:suff w:val="tab"/>
      <w:lvlText w:val="%1.%2.%3.%4.%5.%6.%7.%8.%9."/>
      <w:lvlJc w:val="left"/>
      <w:pPr>
        <w:ind w:left="4320" w:hanging="1440"/>
        <w:tabs>
          <w:tab w:val="num" w:pos="4680" w:leader="none"/>
        </w:tabs>
      </w:pPr>
      <w:rPr>
        <w:rFonts w:cs="Times New Roman"/>
      </w:rPr>
    </w:lvl>
  </w:abstractNum>
  <w:abstractNum w:abstractNumId="61">
    <w:multiLevelType w:val="hybridMultilevel"/>
    <w:lvl w:ilvl="0">
      <w:start w:val="1"/>
      <w:numFmt w:val="bullet"/>
      <w:pStyle w:val="2040"/>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rPr>
    </w:lvl>
    <w:lvl w:ilvl="8">
      <w:start w:val="1"/>
      <w:numFmt w:val="bullet"/>
      <w:isLgl w:val="false"/>
      <w:suff w:val="tab"/>
      <w:lvlText w:val=""/>
      <w:lvlJc w:val="left"/>
      <w:pPr>
        <w:ind w:left="7047" w:hanging="360"/>
      </w:pPr>
      <w:rPr>
        <w:rFonts w:hint="default" w:ascii="Wingdings" w:hAnsi="Wingdings"/>
      </w:rPr>
    </w:lvl>
  </w:abstractNum>
  <w:abstractNum w:abstractNumId="62">
    <w:multiLevelType w:val="hybridMultilevel"/>
    <w:lvl w:ilvl="0">
      <w:start w:val="1"/>
      <w:numFmt w:val="decimal"/>
      <w:pStyle w:val="2048"/>
      <w:isLgl w:val="false"/>
      <w:suff w:val="tab"/>
      <w:lvlText w:val="E4.%1."/>
      <w:lvlJc w:val="left"/>
      <w:pPr>
        <w:ind w:left="417" w:hanging="360"/>
      </w:pPr>
      <w:rPr>
        <w:rFonts w:hint="default" w:ascii="Times New Roman" w:hAnsi="Times New Roman" w:cs="Times New Roman"/>
        <w:b w:val="0"/>
        <w:bCs w:val="0"/>
        <w:i w:val="0"/>
        <w:iCs w:val="0"/>
        <w:caps w:val="0"/>
        <w:smallCaps w:val="0"/>
        <w:strike w:val="0"/>
        <w:vanish w:val="0"/>
        <w:color w:val="000000"/>
        <w:spacing w:val="0"/>
        <w:position w:val="0"/>
        <w:sz w:val="24"/>
        <w:szCs w:val="24"/>
        <w:u w:val="none"/>
        <w:vertAlign w:val="baseline"/>
      </w:rPr>
    </w:lvl>
    <w:lvl w:ilvl="1">
      <w:start w:val="1"/>
      <w:numFmt w:val="lowerLetter"/>
      <w:isLgl w:val="false"/>
      <w:suff w:val="tab"/>
      <w:lvlText w:val="%2."/>
      <w:lvlJc w:val="left"/>
      <w:pPr>
        <w:ind w:left="1440" w:hanging="360"/>
      </w:pPr>
      <w:rPr>
        <w:rFonts w:cs="Times New Roman"/>
      </w:rPr>
    </w:lvl>
    <w:lvl w:ilvl="2">
      <w:start w:val="1"/>
      <w:numFmt w:val="lowerRoman"/>
      <w:isLgl w:val="false"/>
      <w:suff w:val="tab"/>
      <w:lvlText w:val="%3."/>
      <w:lvlJc w:val="right"/>
      <w:pPr>
        <w:ind w:left="2160" w:hanging="180"/>
      </w:pPr>
      <w:rPr>
        <w:rFonts w:cs="Times New Roman"/>
      </w:rPr>
    </w:lvl>
    <w:lvl w:ilvl="3">
      <w:start w:val="1"/>
      <w:numFmt w:val="decimal"/>
      <w:isLgl w:val="false"/>
      <w:suff w:val="tab"/>
      <w:lvlText w:val="%4."/>
      <w:lvlJc w:val="left"/>
      <w:pPr>
        <w:ind w:left="2880" w:hanging="360"/>
      </w:pPr>
      <w:rPr>
        <w:rFonts w:cs="Times New Roman"/>
      </w:rPr>
    </w:lvl>
    <w:lvl w:ilvl="4">
      <w:start w:val="1"/>
      <w:numFmt w:val="lowerLetter"/>
      <w:isLgl w:val="false"/>
      <w:suff w:val="tab"/>
      <w:lvlText w:val="%5."/>
      <w:lvlJc w:val="left"/>
      <w:pPr>
        <w:ind w:left="3600" w:hanging="360"/>
      </w:pPr>
      <w:rPr>
        <w:rFonts w:cs="Times New Roman"/>
      </w:rPr>
    </w:lvl>
    <w:lvl w:ilvl="5">
      <w:start w:val="1"/>
      <w:numFmt w:val="lowerRoman"/>
      <w:isLgl w:val="false"/>
      <w:suff w:val="tab"/>
      <w:lvlText w:val="%6."/>
      <w:lvlJc w:val="right"/>
      <w:pPr>
        <w:ind w:left="4320" w:hanging="180"/>
      </w:pPr>
      <w:rPr>
        <w:rFonts w:cs="Times New Roman"/>
      </w:rPr>
    </w:lvl>
    <w:lvl w:ilvl="6">
      <w:start w:val="1"/>
      <w:numFmt w:val="decimal"/>
      <w:isLgl w:val="false"/>
      <w:suff w:val="tab"/>
      <w:lvlText w:val="%7."/>
      <w:lvlJc w:val="left"/>
      <w:pPr>
        <w:ind w:left="5040" w:hanging="360"/>
      </w:pPr>
      <w:rPr>
        <w:rFonts w:cs="Times New Roman"/>
      </w:rPr>
    </w:lvl>
    <w:lvl w:ilvl="7">
      <w:start w:val="1"/>
      <w:numFmt w:val="lowerLetter"/>
      <w:isLgl w:val="false"/>
      <w:suff w:val="tab"/>
      <w:lvlText w:val="%8."/>
      <w:lvlJc w:val="left"/>
      <w:pPr>
        <w:ind w:left="5760" w:hanging="360"/>
      </w:pPr>
      <w:rPr>
        <w:rFonts w:cs="Times New Roman"/>
      </w:rPr>
    </w:lvl>
    <w:lvl w:ilvl="8">
      <w:start w:val="1"/>
      <w:numFmt w:val="lowerRoman"/>
      <w:isLgl w:val="false"/>
      <w:suff w:val="tab"/>
      <w:lvlText w:val="%9."/>
      <w:lvlJc w:val="right"/>
      <w:pPr>
        <w:ind w:left="6480" w:hanging="180"/>
      </w:pPr>
      <w:rPr>
        <w:rFonts w:cs="Times New Roman"/>
      </w:rPr>
    </w:lvl>
  </w:abstractNum>
  <w:abstractNum w:abstractNumId="63">
    <w:multiLevelType w:val="hybridMultilevel"/>
    <w:lvl w:ilvl="0">
      <w:start w:val="1"/>
      <w:numFmt w:val="decimal"/>
      <w:pStyle w:val="2275"/>
      <w:isLgl w:val="false"/>
      <w:suff w:val="tab"/>
      <w:lvlText w:val="%1.1.1"/>
      <w:lvlJc w:val="left"/>
      <w:pPr>
        <w:ind w:left="2052" w:hanging="360"/>
      </w:pPr>
      <w:rPr>
        <w:rFonts w:hint="default" w:ascii="Arial" w:hAnsi="Arial" w:cs="Arial"/>
        <w:sz w:val="24"/>
        <w:szCs w:val="24"/>
      </w:rPr>
    </w:lvl>
    <w:lvl w:ilvl="1">
      <w:start w:val="1"/>
      <w:numFmt w:val="lowerLetter"/>
      <w:isLgl w:val="false"/>
      <w:suff w:val="tab"/>
      <w:lvlText w:val="%2."/>
      <w:lvlJc w:val="left"/>
      <w:pPr>
        <w:ind w:left="4929" w:hanging="360"/>
      </w:pPr>
      <w:rPr>
        <w:rFonts w:cs="Times New Roman"/>
      </w:rPr>
    </w:lvl>
    <w:lvl w:ilvl="2">
      <w:start w:val="1"/>
      <w:numFmt w:val="lowerRoman"/>
      <w:isLgl w:val="false"/>
      <w:suff w:val="tab"/>
      <w:lvlText w:val="%3."/>
      <w:lvlJc w:val="right"/>
      <w:pPr>
        <w:ind w:left="5649" w:hanging="180"/>
      </w:pPr>
      <w:rPr>
        <w:rFonts w:cs="Times New Roman"/>
      </w:rPr>
    </w:lvl>
    <w:lvl w:ilvl="3">
      <w:start w:val="1"/>
      <w:numFmt w:val="decimal"/>
      <w:isLgl w:val="false"/>
      <w:suff w:val="tab"/>
      <w:lvlText w:val="%4."/>
      <w:lvlJc w:val="left"/>
      <w:pPr>
        <w:ind w:left="6369" w:hanging="360"/>
      </w:pPr>
      <w:rPr>
        <w:rFonts w:cs="Times New Roman"/>
      </w:rPr>
    </w:lvl>
    <w:lvl w:ilvl="4">
      <w:start w:val="1"/>
      <w:numFmt w:val="lowerLetter"/>
      <w:isLgl w:val="false"/>
      <w:suff w:val="tab"/>
      <w:lvlText w:val="%5."/>
      <w:lvlJc w:val="left"/>
      <w:pPr>
        <w:ind w:left="7089" w:hanging="360"/>
      </w:pPr>
      <w:rPr>
        <w:rFonts w:cs="Times New Roman"/>
      </w:rPr>
    </w:lvl>
    <w:lvl w:ilvl="5">
      <w:start w:val="1"/>
      <w:numFmt w:val="lowerRoman"/>
      <w:isLgl w:val="false"/>
      <w:suff w:val="tab"/>
      <w:lvlText w:val="%6."/>
      <w:lvlJc w:val="right"/>
      <w:pPr>
        <w:ind w:left="7809" w:hanging="180"/>
      </w:pPr>
      <w:rPr>
        <w:rFonts w:cs="Times New Roman"/>
      </w:rPr>
    </w:lvl>
    <w:lvl w:ilvl="6">
      <w:start w:val="1"/>
      <w:numFmt w:val="decimal"/>
      <w:isLgl w:val="false"/>
      <w:suff w:val="tab"/>
      <w:lvlText w:val="%7."/>
      <w:lvlJc w:val="left"/>
      <w:pPr>
        <w:ind w:left="8529" w:hanging="360"/>
      </w:pPr>
      <w:rPr>
        <w:rFonts w:cs="Times New Roman"/>
      </w:rPr>
    </w:lvl>
    <w:lvl w:ilvl="7">
      <w:start w:val="1"/>
      <w:numFmt w:val="lowerLetter"/>
      <w:isLgl w:val="false"/>
      <w:suff w:val="tab"/>
      <w:lvlText w:val="%8."/>
      <w:lvlJc w:val="left"/>
      <w:pPr>
        <w:ind w:left="9249" w:hanging="360"/>
      </w:pPr>
      <w:rPr>
        <w:rFonts w:cs="Times New Roman"/>
      </w:rPr>
    </w:lvl>
    <w:lvl w:ilvl="8">
      <w:start w:val="1"/>
      <w:numFmt w:val="lowerRoman"/>
      <w:isLgl w:val="false"/>
      <w:suff w:val="tab"/>
      <w:lvlText w:val="%9."/>
      <w:lvlJc w:val="right"/>
      <w:pPr>
        <w:ind w:left="9969" w:hanging="180"/>
      </w:pPr>
      <w:rPr>
        <w:rFonts w:cs="Times New Roman"/>
      </w:rPr>
    </w:lvl>
  </w:abstractNum>
  <w:abstractNum w:abstractNumId="64">
    <w:multiLevelType w:val="hybridMultilevel"/>
    <w:lvl w:ilvl="0">
      <w:start w:val="1"/>
      <w:numFmt w:val="bullet"/>
      <w:pStyle w:val="2006"/>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65">
    <w:multiLevelType w:val="hybridMultilevel"/>
    <w:lvl w:ilvl="0">
      <w:start w:val="1"/>
      <w:numFmt w:val="decimal"/>
      <w:pStyle w:val="2053"/>
      <w:isLgl w:val="false"/>
      <w:suff w:val="tab"/>
      <w:lvlText w:val="E9.%1."/>
      <w:lvlJc w:val="left"/>
      <w:pPr>
        <w:ind w:left="417" w:hanging="360"/>
      </w:pPr>
      <w:rPr>
        <w:rFonts w:ascii="Times New Roman" w:hAnsi="Times New Roman" w:cs="Times New Roman"/>
        <w:b w:val="0"/>
        <w:bCs w:val="0"/>
        <w:i w:val="0"/>
        <w:iCs w:val="0"/>
        <w:caps w:val="0"/>
        <w:smallCaps w:val="0"/>
        <w:strike w:val="0"/>
        <w:vanish w:val="0"/>
        <w:color w:val="000000"/>
        <w:spacing w:val="0"/>
        <w:position w:val="0"/>
        <w:u w:val="none"/>
        <w:vertAlign w:val="baseline"/>
      </w:rPr>
    </w:lvl>
    <w:lvl w:ilvl="1">
      <w:start w:val="1"/>
      <w:numFmt w:val="lowerLetter"/>
      <w:isLgl w:val="false"/>
      <w:suff w:val="tab"/>
      <w:lvlText w:val="%2."/>
      <w:lvlJc w:val="left"/>
      <w:pPr>
        <w:ind w:left="1440" w:hanging="360"/>
      </w:pPr>
      <w:rPr>
        <w:rFonts w:cs="Times New Roman"/>
      </w:rPr>
    </w:lvl>
    <w:lvl w:ilvl="2">
      <w:start w:val="1"/>
      <w:numFmt w:val="lowerRoman"/>
      <w:isLgl w:val="false"/>
      <w:suff w:val="tab"/>
      <w:lvlText w:val="%3."/>
      <w:lvlJc w:val="right"/>
      <w:pPr>
        <w:ind w:left="2160" w:hanging="180"/>
      </w:pPr>
      <w:rPr>
        <w:rFonts w:cs="Times New Roman"/>
      </w:rPr>
    </w:lvl>
    <w:lvl w:ilvl="3">
      <w:start w:val="1"/>
      <w:numFmt w:val="decimal"/>
      <w:isLgl w:val="false"/>
      <w:suff w:val="tab"/>
      <w:lvlText w:val="%4."/>
      <w:lvlJc w:val="left"/>
      <w:pPr>
        <w:ind w:left="2880" w:hanging="360"/>
      </w:pPr>
      <w:rPr>
        <w:rFonts w:cs="Times New Roman"/>
      </w:rPr>
    </w:lvl>
    <w:lvl w:ilvl="4">
      <w:start w:val="1"/>
      <w:numFmt w:val="lowerLetter"/>
      <w:isLgl w:val="false"/>
      <w:suff w:val="tab"/>
      <w:lvlText w:val="%5."/>
      <w:lvlJc w:val="left"/>
      <w:pPr>
        <w:ind w:left="3600" w:hanging="360"/>
      </w:pPr>
      <w:rPr>
        <w:rFonts w:cs="Times New Roman"/>
      </w:rPr>
    </w:lvl>
    <w:lvl w:ilvl="5">
      <w:start w:val="1"/>
      <w:numFmt w:val="lowerRoman"/>
      <w:isLgl w:val="false"/>
      <w:suff w:val="tab"/>
      <w:lvlText w:val="%6."/>
      <w:lvlJc w:val="right"/>
      <w:pPr>
        <w:ind w:left="4320" w:hanging="180"/>
      </w:pPr>
      <w:rPr>
        <w:rFonts w:cs="Times New Roman"/>
      </w:rPr>
    </w:lvl>
    <w:lvl w:ilvl="6">
      <w:start w:val="1"/>
      <w:numFmt w:val="decimal"/>
      <w:isLgl w:val="false"/>
      <w:suff w:val="tab"/>
      <w:lvlText w:val="%7."/>
      <w:lvlJc w:val="left"/>
      <w:pPr>
        <w:ind w:left="5040" w:hanging="360"/>
      </w:pPr>
      <w:rPr>
        <w:rFonts w:cs="Times New Roman"/>
      </w:rPr>
    </w:lvl>
    <w:lvl w:ilvl="7">
      <w:start w:val="1"/>
      <w:numFmt w:val="lowerLetter"/>
      <w:isLgl w:val="false"/>
      <w:suff w:val="tab"/>
      <w:lvlText w:val="%8."/>
      <w:lvlJc w:val="left"/>
      <w:pPr>
        <w:ind w:left="5760" w:hanging="360"/>
      </w:pPr>
      <w:rPr>
        <w:rFonts w:cs="Times New Roman"/>
      </w:rPr>
    </w:lvl>
    <w:lvl w:ilvl="8">
      <w:start w:val="1"/>
      <w:numFmt w:val="lowerRoman"/>
      <w:isLgl w:val="false"/>
      <w:suff w:val="tab"/>
      <w:lvlText w:val="%9."/>
      <w:lvlJc w:val="right"/>
      <w:pPr>
        <w:ind w:left="6480" w:hanging="180"/>
      </w:pPr>
      <w:rPr>
        <w:rFonts w:cs="Times New Roman"/>
      </w:rPr>
    </w:lvl>
  </w:abstractNum>
  <w:abstractNum w:abstractNumId="66">
    <w:multiLevelType w:val="hybridMultilevel"/>
    <w:lvl w:ilvl="0">
      <w:start w:val="1"/>
      <w:numFmt w:val="decimal"/>
      <w:pStyle w:val="2277"/>
      <w:isLgl w:val="false"/>
      <w:suff w:val="tab"/>
      <w:lvlText w:val="%1."/>
      <w:lvlJc w:val="left"/>
      <w:pPr>
        <w:ind w:left="720" w:hanging="360"/>
      </w:pPr>
    </w:lvl>
    <w:lvl w:ilvl="1">
      <w:start w:val="1"/>
      <w:numFmt w:val="decimal"/>
      <w:isLgl/>
      <w:suff w:val="tab"/>
      <w:lvlText w:val="%1.%2"/>
      <w:lvlJc w:val="left"/>
      <w:pPr>
        <w:ind w:left="885" w:hanging="525"/>
      </w:pPr>
      <w:rPr>
        <w:rFonts w:hint="default"/>
      </w:rPr>
    </w:lvl>
    <w:lvl w:ilvl="2">
      <w:start w:val="1"/>
      <w:numFmt w:val="decimal"/>
      <w:isLgl/>
      <w:suff w:val="tab"/>
      <w:lvlText w:val="%1.%2.%3"/>
      <w:lvlJc w:val="left"/>
      <w:pPr>
        <w:ind w:left="1080" w:hanging="720"/>
      </w:pPr>
      <w:rPr>
        <w:rFonts w:hint="default" w:ascii="Times New Roman" w:hAnsi="Times New Roman" w:cs="Times New Roman"/>
      </w:rPr>
    </w:lvl>
    <w:lvl w:ilvl="3">
      <w:start w:val="1"/>
      <w:numFmt w:val="decimal"/>
      <w:isLgl/>
      <w:suff w:val="tab"/>
      <w:lvlText w:val="%1.%2.%3.%4"/>
      <w:lvlJc w:val="left"/>
      <w:pPr>
        <w:ind w:left="1080" w:hanging="720"/>
      </w:pPr>
      <w:rPr>
        <w:rFonts w:hint="default"/>
      </w:rPr>
    </w:lvl>
    <w:lvl w:ilvl="4">
      <w:start w:val="1"/>
      <w:numFmt w:val="decimal"/>
      <w:isLgl/>
      <w:suff w:val="tab"/>
      <w:lvlText w:val="%1.%2.%3.%4.%5"/>
      <w:lvlJc w:val="left"/>
      <w:pPr>
        <w:ind w:left="1440" w:hanging="1080"/>
      </w:pPr>
      <w:rPr>
        <w:rFonts w:hint="default"/>
      </w:rPr>
    </w:lvl>
    <w:lvl w:ilvl="5">
      <w:start w:val="1"/>
      <w:numFmt w:val="decimal"/>
      <w:isLgl/>
      <w:suff w:val="tab"/>
      <w:lvlText w:val="%1.%2.%3.%4.%5.%6"/>
      <w:lvlJc w:val="left"/>
      <w:pPr>
        <w:ind w:left="1800" w:hanging="1440"/>
      </w:pPr>
      <w:rPr>
        <w:rFonts w:hint="default"/>
      </w:rPr>
    </w:lvl>
    <w:lvl w:ilvl="6">
      <w:start w:val="1"/>
      <w:numFmt w:val="decimal"/>
      <w:isLgl/>
      <w:suff w:val="tab"/>
      <w:lvlText w:val="%1.%2.%3.%4.%5.%6.%7"/>
      <w:lvlJc w:val="left"/>
      <w:pPr>
        <w:ind w:left="1800" w:hanging="1440"/>
      </w:pPr>
      <w:rPr>
        <w:rFonts w:hint="default"/>
      </w:rPr>
    </w:lvl>
    <w:lvl w:ilvl="7">
      <w:start w:val="1"/>
      <w:numFmt w:val="decimal"/>
      <w:isLgl/>
      <w:suff w:val="tab"/>
      <w:lvlText w:val="%1.%2.%3.%4.%5.%6.%7.%8"/>
      <w:lvlJc w:val="left"/>
      <w:pPr>
        <w:ind w:left="2160" w:hanging="1800"/>
      </w:pPr>
      <w:rPr>
        <w:rFonts w:hint="default"/>
      </w:rPr>
    </w:lvl>
    <w:lvl w:ilvl="8">
      <w:start w:val="1"/>
      <w:numFmt w:val="decimal"/>
      <w:isLgl/>
      <w:suff w:val="tab"/>
      <w:lvlText w:val="%1.%2.%3.%4.%5.%6.%7.%8.%9"/>
      <w:lvlJc w:val="left"/>
      <w:pPr>
        <w:ind w:left="2160" w:hanging="1800"/>
      </w:pPr>
      <w:rPr>
        <w:rFonts w:hint="default"/>
      </w:rPr>
    </w:lvl>
  </w:abstractNum>
  <w:abstractNum w:abstractNumId="67">
    <w:multiLevelType w:val="hybridMultilevel"/>
    <w:lvl w:ilvl="0">
      <w:start w:val="1"/>
      <w:numFmt w:val="decimal"/>
      <w:pStyle w:val="2021"/>
      <w:isLgl w:val="false"/>
      <w:suff w:val="tab"/>
      <w:lvlText w:val="%1."/>
      <w:lvlJc w:val="left"/>
      <w:pPr>
        <w:ind w:left="284" w:hanging="284"/>
        <w:tabs>
          <w:tab w:val="num" w:pos="0" w:leader="none"/>
        </w:tabs>
      </w:pPr>
      <w:rPr>
        <w:rFonts w:hint="default"/>
      </w:rPr>
    </w:lvl>
    <w:lvl w:ilvl="1">
      <w:start w:val="1"/>
      <w:numFmt w:val="lowerLetter"/>
      <w:isLgl w:val="false"/>
      <w:suff w:val="tab"/>
      <w:lvlText w:val="%2."/>
      <w:lvlJc w:val="left"/>
      <w:pPr>
        <w:ind w:left="8866" w:hanging="360"/>
        <w:tabs>
          <w:tab w:val="num" w:pos="8866" w:leader="none"/>
        </w:tabs>
      </w:pPr>
      <w:rPr>
        <w:rFonts w:cs="Times New Roman"/>
      </w:rPr>
    </w:lvl>
    <w:lvl w:ilvl="2">
      <w:start w:val="1"/>
      <w:numFmt w:val="lowerRoman"/>
      <w:pStyle w:val="2021"/>
      <w:isLgl w:val="false"/>
      <w:suff w:val="tab"/>
      <w:lvlText w:val="%3."/>
      <w:lvlJc w:val="right"/>
      <w:pPr>
        <w:ind w:left="2160" w:hanging="180"/>
        <w:tabs>
          <w:tab w:val="num" w:pos="2160" w:leader="none"/>
        </w:tabs>
      </w:pPr>
      <w:rPr>
        <w:rFonts w:cs="Times New Roman"/>
      </w:rPr>
    </w:lvl>
    <w:lvl w:ilvl="3">
      <w:start w:val="1"/>
      <w:numFmt w:val="decimal"/>
      <w:isLgl w:val="false"/>
      <w:suff w:val="tab"/>
      <w:lvlText w:val="%4."/>
      <w:lvlJc w:val="left"/>
      <w:pPr>
        <w:ind w:left="2880" w:hanging="360"/>
        <w:tabs>
          <w:tab w:val="num" w:pos="2880" w:leader="none"/>
        </w:tabs>
      </w:pPr>
      <w:rPr>
        <w:rFonts w:cs="Times New Roman"/>
      </w:rPr>
    </w:lvl>
    <w:lvl w:ilvl="4">
      <w:start w:val="1"/>
      <w:numFmt w:val="lowerLetter"/>
      <w:isLgl w:val="false"/>
      <w:suff w:val="tab"/>
      <w:lvlText w:val="%5."/>
      <w:lvlJc w:val="left"/>
      <w:pPr>
        <w:ind w:left="3600" w:hanging="360"/>
        <w:tabs>
          <w:tab w:val="num" w:pos="3600" w:leader="none"/>
        </w:tabs>
      </w:pPr>
      <w:rPr>
        <w:rFonts w:cs="Times New Roman"/>
      </w:rPr>
    </w:lvl>
    <w:lvl w:ilvl="5">
      <w:start w:val="1"/>
      <w:numFmt w:val="lowerRoman"/>
      <w:isLgl w:val="false"/>
      <w:suff w:val="tab"/>
      <w:lvlText w:val="%6."/>
      <w:lvlJc w:val="right"/>
      <w:pPr>
        <w:ind w:left="4320" w:hanging="180"/>
        <w:tabs>
          <w:tab w:val="num" w:pos="4320" w:leader="none"/>
        </w:tabs>
      </w:pPr>
      <w:rPr>
        <w:rFonts w:cs="Times New Roman"/>
      </w:rPr>
    </w:lvl>
    <w:lvl w:ilvl="6">
      <w:start w:val="1"/>
      <w:numFmt w:val="decimal"/>
      <w:isLgl w:val="false"/>
      <w:suff w:val="tab"/>
      <w:lvlText w:val="%7."/>
      <w:lvlJc w:val="left"/>
      <w:pPr>
        <w:ind w:left="5040" w:hanging="360"/>
        <w:tabs>
          <w:tab w:val="num" w:pos="5040" w:leader="none"/>
        </w:tabs>
      </w:pPr>
      <w:rPr>
        <w:rFonts w:cs="Times New Roman"/>
      </w:rPr>
    </w:lvl>
    <w:lvl w:ilvl="7">
      <w:start w:val="1"/>
      <w:numFmt w:val="lowerLetter"/>
      <w:isLgl w:val="false"/>
      <w:suff w:val="tab"/>
      <w:lvlText w:val="%8."/>
      <w:lvlJc w:val="left"/>
      <w:pPr>
        <w:ind w:left="5760" w:hanging="360"/>
        <w:tabs>
          <w:tab w:val="num" w:pos="5760" w:leader="none"/>
        </w:tabs>
      </w:pPr>
      <w:rPr>
        <w:rFonts w:cs="Times New Roman"/>
      </w:rPr>
    </w:lvl>
    <w:lvl w:ilvl="8">
      <w:start w:val="1"/>
      <w:numFmt w:val="lowerRoman"/>
      <w:isLgl w:val="false"/>
      <w:suff w:val="tab"/>
      <w:lvlText w:val="%9."/>
      <w:lvlJc w:val="right"/>
      <w:pPr>
        <w:ind w:left="6480" w:hanging="180"/>
        <w:tabs>
          <w:tab w:val="num" w:pos="6480" w:leader="none"/>
        </w:tabs>
      </w:pPr>
      <w:rPr>
        <w:rFonts w:cs="Times New Roman"/>
      </w:rPr>
    </w:lvl>
  </w:abstractNum>
  <w:abstractNum w:abstractNumId="68">
    <w:multiLevelType w:val="hybridMultilevel"/>
    <w:lvl w:ilvl="0">
      <w:start w:val="1"/>
      <w:numFmt w:val="decimal"/>
      <w:isLgl w:val="false"/>
      <w:suff w:val="tab"/>
      <w:lvlText w:val="%1)"/>
      <w:lvlJc w:val="left"/>
      <w:pPr>
        <w:ind w:left="927" w:hanging="360"/>
      </w:pPr>
      <w:rPr>
        <w:rFonts w:hint="default"/>
      </w:r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69">
    <w:multiLevelType w:val="hybridMultilevel"/>
    <w:lvl w:ilvl="0">
      <w:start w:val="1"/>
      <w:numFmt w:val="bullet"/>
      <w:pStyle w:val="1951"/>
      <w:isLgl w:val="false"/>
      <w:suff w:val="tab"/>
      <w:lvlText w:val="o"/>
      <w:lvlJc w:val="left"/>
      <w:pPr>
        <w:ind w:left="1713" w:hanging="360"/>
      </w:pPr>
      <w:rPr>
        <w:rFonts w:hint="default" w:ascii="Courier New" w:hAnsi="Courier New" w:cs="Courier New"/>
      </w:rPr>
    </w:lvl>
    <w:lvl w:ilvl="1">
      <w:start w:val="1"/>
      <w:numFmt w:val="bullet"/>
      <w:isLgl w:val="false"/>
      <w:suff w:val="tab"/>
      <w:lvlText w:val="o"/>
      <w:lvlJc w:val="left"/>
      <w:pPr>
        <w:ind w:left="2433" w:hanging="360"/>
      </w:pPr>
      <w:rPr>
        <w:rFonts w:hint="default" w:ascii="Courier New" w:hAnsi="Courier New" w:cs="Courier New"/>
      </w:rPr>
    </w:lvl>
    <w:lvl w:ilvl="2">
      <w:start w:val="1"/>
      <w:numFmt w:val="bullet"/>
      <w:isLgl w:val="false"/>
      <w:suff w:val="tab"/>
      <w:lvlText w:val=""/>
      <w:lvlJc w:val="left"/>
      <w:pPr>
        <w:ind w:left="3153" w:hanging="360"/>
      </w:pPr>
      <w:rPr>
        <w:rFonts w:hint="default" w:ascii="Wingdings" w:hAnsi="Wingdings"/>
      </w:rPr>
    </w:lvl>
    <w:lvl w:ilvl="3">
      <w:start w:val="1"/>
      <w:numFmt w:val="bullet"/>
      <w:isLgl w:val="false"/>
      <w:suff w:val="tab"/>
      <w:lvlText w:val=""/>
      <w:lvlJc w:val="left"/>
      <w:pPr>
        <w:ind w:left="3873" w:hanging="360"/>
      </w:pPr>
      <w:rPr>
        <w:rFonts w:hint="default" w:ascii="Symbol" w:hAnsi="Symbol"/>
      </w:rPr>
    </w:lvl>
    <w:lvl w:ilvl="4">
      <w:start w:val="1"/>
      <w:numFmt w:val="bullet"/>
      <w:isLgl w:val="false"/>
      <w:suff w:val="tab"/>
      <w:lvlText w:val="o"/>
      <w:lvlJc w:val="left"/>
      <w:pPr>
        <w:ind w:left="4593" w:hanging="360"/>
      </w:pPr>
      <w:rPr>
        <w:rFonts w:hint="default" w:ascii="Courier New" w:hAnsi="Courier New" w:cs="Courier New"/>
      </w:rPr>
    </w:lvl>
    <w:lvl w:ilvl="5">
      <w:start w:val="1"/>
      <w:numFmt w:val="bullet"/>
      <w:isLgl w:val="false"/>
      <w:suff w:val="tab"/>
      <w:lvlText w:val=""/>
      <w:lvlJc w:val="left"/>
      <w:pPr>
        <w:ind w:left="5313" w:hanging="360"/>
      </w:pPr>
      <w:rPr>
        <w:rFonts w:hint="default" w:ascii="Wingdings" w:hAnsi="Wingdings"/>
      </w:rPr>
    </w:lvl>
    <w:lvl w:ilvl="6">
      <w:start w:val="1"/>
      <w:numFmt w:val="bullet"/>
      <w:isLgl w:val="false"/>
      <w:suff w:val="tab"/>
      <w:lvlText w:val=""/>
      <w:lvlJc w:val="left"/>
      <w:pPr>
        <w:ind w:left="6033" w:hanging="360"/>
      </w:pPr>
      <w:rPr>
        <w:rFonts w:hint="default" w:ascii="Symbol" w:hAnsi="Symbol"/>
      </w:rPr>
    </w:lvl>
    <w:lvl w:ilvl="7">
      <w:start w:val="1"/>
      <w:numFmt w:val="bullet"/>
      <w:isLgl w:val="false"/>
      <w:suff w:val="tab"/>
      <w:lvlText w:val="o"/>
      <w:lvlJc w:val="left"/>
      <w:pPr>
        <w:ind w:left="6753" w:hanging="360"/>
      </w:pPr>
      <w:rPr>
        <w:rFonts w:hint="default" w:ascii="Courier New" w:hAnsi="Courier New" w:cs="Courier New"/>
      </w:rPr>
    </w:lvl>
    <w:lvl w:ilvl="8">
      <w:start w:val="1"/>
      <w:numFmt w:val="bullet"/>
      <w:isLgl w:val="false"/>
      <w:suff w:val="tab"/>
      <w:lvlText w:val=""/>
      <w:lvlJc w:val="left"/>
      <w:pPr>
        <w:ind w:left="7473" w:hanging="360"/>
      </w:pPr>
      <w:rPr>
        <w:rFonts w:hint="default" w:ascii="Wingdings" w:hAnsi="Wingdings"/>
      </w:rPr>
    </w:lvl>
  </w:abstractNum>
  <w:abstractNum w:abstractNumId="70">
    <w:multiLevelType w:val="hybridMultilevel"/>
    <w:lvl w:ilvl="0">
      <w:start w:val="1"/>
      <w:numFmt w:val="bullet"/>
      <w:pStyle w:val="1851"/>
      <w:isLgl w:val="false"/>
      <w:suff w:val="tab"/>
      <w:lvlText w:val=""/>
      <w:lvlJc w:val="left"/>
      <w:pPr>
        <w:ind w:firstLine="709"/>
        <w:tabs>
          <w:tab w:val="num" w:pos="992" w:leader="none"/>
        </w:tabs>
      </w:pPr>
      <w:rPr>
        <w:rFonts w:hint="default" w:ascii="Symbol" w:hAnsi="Symbol"/>
        <w:color w:val="auto"/>
      </w:rPr>
    </w:lvl>
    <w:lvl w:ilvl="1">
      <w:start w:val="1"/>
      <w:numFmt w:val="bullet"/>
      <w:isLgl w:val="false"/>
      <w:suff w:val="tab"/>
      <w:lvlText w:val=""/>
      <w:lvlJc w:val="left"/>
      <w:pPr>
        <w:ind w:left="1276" w:hanging="284"/>
        <w:tabs>
          <w:tab w:val="num" w:pos="992" w:leader="none"/>
        </w:tabs>
      </w:pPr>
      <w:rPr>
        <w:rFonts w:hint="default" w:ascii="Wingdings" w:hAnsi="Wingdings"/>
        <w:sz w:val="16"/>
      </w:rPr>
    </w:lvl>
    <w:lvl w:ilvl="2">
      <w:start w:val="1"/>
      <w:numFmt w:val="bullet"/>
      <w:isLgl w:val="false"/>
      <w:suff w:val="tab"/>
      <w:lvlText w:val="–"/>
      <w:lvlJc w:val="left"/>
      <w:pPr>
        <w:ind w:left="1758" w:hanging="340"/>
        <w:tabs>
          <w:tab w:val="num" w:pos="1276" w:leader="none"/>
        </w:tabs>
      </w:pPr>
      <w:rPr>
        <w:rFonts w:hint="default" w:ascii="Verdana" w:hAnsi="Verdana"/>
        <w:b/>
        <w:i w:val="0"/>
        <w:sz w:val="20"/>
      </w:rPr>
    </w:lvl>
    <w:lvl w:ilvl="3">
      <w:start w:val="1"/>
      <w:numFmt w:val="bullet"/>
      <w:isLgl w:val="false"/>
      <w:suff w:val="tab"/>
      <w:lvlText w:val=""/>
      <w:lvlJc w:val="left"/>
      <w:pPr>
        <w:ind w:left="1440" w:hanging="360"/>
        <w:tabs>
          <w:tab w:val="num" w:pos="1440" w:leader="none"/>
        </w:tabs>
      </w:pPr>
      <w:rPr>
        <w:rFonts w:hint="default" w:ascii="Symbol" w:hAnsi="Symbol"/>
      </w:rPr>
    </w:lvl>
    <w:lvl w:ilvl="4">
      <w:start w:val="1"/>
      <w:numFmt w:val="bullet"/>
      <w:isLgl w:val="false"/>
      <w:suff w:val="tab"/>
      <w:lvlText w:val=""/>
      <w:lvlJc w:val="left"/>
      <w:pPr>
        <w:ind w:left="1800" w:hanging="360"/>
        <w:tabs>
          <w:tab w:val="num" w:pos="1800" w:leader="none"/>
        </w:tabs>
      </w:pPr>
      <w:rPr>
        <w:rFonts w:hint="default" w:ascii="Symbol" w:hAnsi="Symbol"/>
      </w:rPr>
    </w:lvl>
    <w:lvl w:ilvl="5">
      <w:start w:val="1"/>
      <w:numFmt w:val="bullet"/>
      <w:isLgl w:val="false"/>
      <w:suff w:val="tab"/>
      <w:lvlText w:val=""/>
      <w:lvlJc w:val="left"/>
      <w:pPr>
        <w:ind w:left="2160" w:hanging="360"/>
        <w:tabs>
          <w:tab w:val="num" w:pos="2160" w:leader="none"/>
        </w:tabs>
      </w:pPr>
      <w:rPr>
        <w:rFonts w:hint="default" w:ascii="Wingdings" w:hAnsi="Wingdings"/>
      </w:rPr>
    </w:lvl>
    <w:lvl w:ilvl="6">
      <w:start w:val="1"/>
      <w:numFmt w:val="bullet"/>
      <w:isLgl w:val="false"/>
      <w:suff w:val="tab"/>
      <w:lvlText w:val=""/>
      <w:lvlJc w:val="left"/>
      <w:pPr>
        <w:ind w:left="2520" w:hanging="360"/>
        <w:tabs>
          <w:tab w:val="num" w:pos="2520" w:leader="none"/>
        </w:tabs>
      </w:pPr>
      <w:rPr>
        <w:rFonts w:hint="default" w:ascii="Wingdings" w:hAnsi="Wingdings"/>
      </w:rPr>
    </w:lvl>
    <w:lvl w:ilvl="7">
      <w:start w:val="1"/>
      <w:numFmt w:val="bullet"/>
      <w:isLgl w:val="false"/>
      <w:suff w:val="tab"/>
      <w:lvlText w:val=""/>
      <w:lvlJc w:val="left"/>
      <w:pPr>
        <w:ind w:left="2880" w:hanging="360"/>
        <w:tabs>
          <w:tab w:val="num" w:pos="2880" w:leader="none"/>
        </w:tabs>
      </w:pPr>
      <w:rPr>
        <w:rFonts w:hint="default" w:ascii="Symbol" w:hAnsi="Symbol"/>
      </w:rPr>
    </w:lvl>
    <w:lvl w:ilvl="8">
      <w:start w:val="1"/>
      <w:numFmt w:val="bullet"/>
      <w:isLgl w:val="false"/>
      <w:suff w:val="tab"/>
      <w:lvlText w:val=""/>
      <w:lvlJc w:val="left"/>
      <w:pPr>
        <w:ind w:left="3240" w:hanging="360"/>
        <w:tabs>
          <w:tab w:val="num" w:pos="3240" w:leader="none"/>
        </w:tabs>
      </w:pPr>
      <w:rPr>
        <w:rFonts w:hint="default" w:ascii="Symbol" w:hAnsi="Symbol"/>
      </w:rPr>
    </w:lvl>
  </w:abstractNum>
  <w:abstractNum w:abstractNumId="71">
    <w:multiLevelType w:val="hybridMultilevel"/>
    <w:styleLink w:val="1850"/>
    <w:lvl w:ilvl="0">
      <w:start w:val="1"/>
      <w:numFmt w:val="decimal"/>
      <w:pStyle w:val="1850"/>
      <w:isLgl w:val="false"/>
      <w:suff w:val="tab"/>
      <w:lvlText w:val="A2.%1."/>
      <w:lvlJc w:val="left"/>
      <w:pPr>
        <w:ind w:left="720" w:hanging="360"/>
      </w:pPr>
      <w:rPr>
        <w:rFonts w:hint="default" w:ascii="Times New Roman" w:hAnsi="Times New Roman" w:cs="Times New Roman"/>
        <w:b w:val="0"/>
        <w:bCs w:val="0"/>
        <w:i w:val="0"/>
        <w:iCs w:val="0"/>
        <w:caps w:val="0"/>
        <w:smallCaps w:val="0"/>
        <w:strike w:val="0"/>
        <w:vanish w:val="0"/>
        <w:color w:val="000000"/>
        <w:spacing w:val="0"/>
        <w:position w:val="0"/>
        <w:sz w:val="24"/>
        <w:szCs w:val="24"/>
        <w:u w:val="none"/>
        <w:vertAlign w:val="baseline"/>
      </w:rPr>
    </w:lvl>
    <w:lvl w:ilvl="1">
      <w:start w:val="1"/>
      <w:numFmt w:val="lowerLetter"/>
      <w:isLgl w:val="false"/>
      <w:suff w:val="tab"/>
      <w:lvlText w:val="%2."/>
      <w:lvlJc w:val="left"/>
      <w:pPr>
        <w:ind w:left="1440" w:hanging="360"/>
      </w:pPr>
      <w:rPr>
        <w:rFonts w:hint="default" w:cs="Times New Roman"/>
      </w:rPr>
    </w:lvl>
    <w:lvl w:ilvl="2">
      <w:start w:val="1"/>
      <w:numFmt w:val="lowerRoman"/>
      <w:isLgl w:val="false"/>
      <w:suff w:val="tab"/>
      <w:lvlText w:val="%3."/>
      <w:lvlJc w:val="right"/>
      <w:pPr>
        <w:ind w:left="2160" w:hanging="180"/>
      </w:pPr>
      <w:rPr>
        <w:rFonts w:hint="default" w:cs="Times New Roman"/>
      </w:rPr>
    </w:lvl>
    <w:lvl w:ilvl="3">
      <w:start w:val="1"/>
      <w:numFmt w:val="decimal"/>
      <w:isLgl w:val="false"/>
      <w:suff w:val="tab"/>
      <w:lvlText w:val="%4."/>
      <w:lvlJc w:val="left"/>
      <w:pPr>
        <w:ind w:left="2880" w:hanging="360"/>
      </w:pPr>
      <w:rPr>
        <w:rFonts w:hint="default" w:cs="Times New Roman"/>
      </w:rPr>
    </w:lvl>
    <w:lvl w:ilvl="4">
      <w:start w:val="1"/>
      <w:numFmt w:val="lowerLetter"/>
      <w:isLgl w:val="false"/>
      <w:suff w:val="tab"/>
      <w:lvlText w:val="%5."/>
      <w:lvlJc w:val="left"/>
      <w:pPr>
        <w:ind w:left="3600" w:hanging="360"/>
      </w:pPr>
      <w:rPr>
        <w:rFonts w:hint="default" w:cs="Times New Roman"/>
      </w:rPr>
    </w:lvl>
    <w:lvl w:ilvl="5">
      <w:start w:val="1"/>
      <w:numFmt w:val="lowerRoman"/>
      <w:isLgl w:val="false"/>
      <w:suff w:val="tab"/>
      <w:lvlText w:val="%6."/>
      <w:lvlJc w:val="right"/>
      <w:pPr>
        <w:ind w:left="4320" w:hanging="180"/>
      </w:pPr>
      <w:rPr>
        <w:rFonts w:hint="default" w:cs="Times New Roman"/>
      </w:rPr>
    </w:lvl>
    <w:lvl w:ilvl="6">
      <w:start w:val="1"/>
      <w:numFmt w:val="decimal"/>
      <w:isLgl w:val="false"/>
      <w:suff w:val="tab"/>
      <w:lvlText w:val="%7."/>
      <w:lvlJc w:val="left"/>
      <w:pPr>
        <w:ind w:left="5040" w:hanging="360"/>
      </w:pPr>
      <w:rPr>
        <w:rFonts w:hint="default" w:cs="Times New Roman"/>
      </w:rPr>
    </w:lvl>
    <w:lvl w:ilvl="7">
      <w:start w:val="1"/>
      <w:numFmt w:val="lowerLetter"/>
      <w:isLgl w:val="false"/>
      <w:suff w:val="tab"/>
      <w:lvlText w:val="%8."/>
      <w:lvlJc w:val="left"/>
      <w:pPr>
        <w:ind w:left="5760" w:hanging="360"/>
      </w:pPr>
      <w:rPr>
        <w:rFonts w:hint="default" w:cs="Times New Roman"/>
      </w:rPr>
    </w:lvl>
    <w:lvl w:ilvl="8">
      <w:start w:val="1"/>
      <w:numFmt w:val="lowerRoman"/>
      <w:isLgl w:val="false"/>
      <w:suff w:val="tab"/>
      <w:lvlText w:val="%9."/>
      <w:lvlJc w:val="right"/>
      <w:pPr>
        <w:ind w:left="6480" w:hanging="180"/>
      </w:pPr>
      <w:rPr>
        <w:rFonts w:hint="default" w:cs="Times New Roman"/>
      </w:rPr>
    </w:lvl>
  </w:abstractNum>
  <w:abstractNum w:abstractNumId="72">
    <w:multiLevelType w:val="hybridMultilevel"/>
    <w:lvl w:ilvl="0">
      <w:start w:val="1"/>
      <w:numFmt w:val="decimal"/>
      <w:pStyle w:val="1320"/>
      <w:isLgl w:val="false"/>
      <w:suff w:val="tab"/>
      <w:lvlText w:val="%1."/>
      <w:lvlJc w:val="left"/>
      <w:pPr>
        <w:ind w:left="113" w:firstLine="0"/>
        <w:tabs>
          <w:tab w:val="num" w:pos="113" w:leader="none"/>
        </w:tabs>
      </w:pPr>
      <w:rPr>
        <w:rFonts w:hint="default"/>
      </w:rPr>
    </w:lvl>
    <w:lvl w:ilvl="1">
      <w:start w:val="1"/>
      <w:numFmt w:val="decimal"/>
      <w:pStyle w:val="2310"/>
      <w:isLgl w:val="false"/>
      <w:suff w:val="tab"/>
      <w:lvlText w:val="%1.%2."/>
      <w:lvlJc w:val="left"/>
      <w:pPr>
        <w:ind w:left="113" w:firstLine="0"/>
        <w:tabs>
          <w:tab w:val="num" w:pos="113" w:leader="none"/>
        </w:tabs>
      </w:pPr>
      <w:rPr>
        <w:rFonts w:hint="default"/>
      </w:rPr>
    </w:lvl>
    <w:lvl w:ilvl="2">
      <w:start w:val="1"/>
      <w:numFmt w:val="decimal"/>
      <w:pStyle w:val="2311"/>
      <w:isLgl w:val="false"/>
      <w:suff w:val="tab"/>
      <w:lvlText w:val="%1.%2.%3."/>
      <w:lvlJc w:val="left"/>
      <w:pPr>
        <w:ind w:left="113" w:firstLine="0"/>
        <w:tabs>
          <w:tab w:val="num" w:pos="113" w:leader="none"/>
        </w:tabs>
      </w:pPr>
      <w:rPr>
        <w:rFonts w:hint="default"/>
      </w:rPr>
    </w:lvl>
    <w:lvl w:ilvl="3">
      <w:start w:val="1"/>
      <w:numFmt w:val="decimal"/>
      <w:pStyle w:val="2312"/>
      <w:isLgl w:val="false"/>
      <w:suff w:val="tab"/>
      <w:lvlText w:val="%1.%2.%3.%4."/>
      <w:lvlJc w:val="left"/>
      <w:pPr>
        <w:ind w:left="113" w:firstLine="0"/>
        <w:tabs>
          <w:tab w:val="num" w:pos="113" w:leader="none"/>
        </w:tabs>
      </w:pPr>
      <w:rPr>
        <w:rFonts w:hint="default"/>
      </w:rPr>
    </w:lvl>
    <w:lvl w:ilvl="4">
      <w:start w:val="1"/>
      <w:numFmt w:val="decimal"/>
      <w:pStyle w:val="2313"/>
      <w:isLgl w:val="false"/>
      <w:suff w:val="tab"/>
      <w:lvlText w:val="%1.%2.%3.%4.%5."/>
      <w:lvlJc w:val="left"/>
      <w:pPr>
        <w:ind w:left="113" w:firstLine="0"/>
        <w:tabs>
          <w:tab w:val="num" w:pos="113" w:leader="none"/>
        </w:tabs>
      </w:pPr>
      <w:rPr>
        <w:rFonts w:hint="default"/>
      </w:rPr>
    </w:lvl>
    <w:lvl w:ilvl="5">
      <w:start w:val="1"/>
      <w:numFmt w:val="decimal"/>
      <w:pStyle w:val="2314"/>
      <w:isLgl w:val="false"/>
      <w:suff w:val="tab"/>
      <w:lvlText w:val="%1.%2.%3.%4.%5.%6."/>
      <w:lvlJc w:val="left"/>
      <w:pPr>
        <w:ind w:left="113" w:firstLine="0"/>
        <w:tabs>
          <w:tab w:val="num" w:pos="113" w:leader="none"/>
        </w:tabs>
      </w:pPr>
      <w:rPr>
        <w:rFonts w:hint="default"/>
      </w:rPr>
    </w:lvl>
    <w:lvl w:ilvl="6">
      <w:start w:val="1"/>
      <w:numFmt w:val="decimal"/>
      <w:pStyle w:val="2315"/>
      <w:isLgl w:val="false"/>
      <w:suff w:val="tab"/>
      <w:lvlText w:val="%1.%2.%3.%4.%5.%6.%7."/>
      <w:lvlJc w:val="left"/>
      <w:pPr>
        <w:ind w:left="113" w:firstLine="0"/>
        <w:tabs>
          <w:tab w:val="num" w:pos="113" w:leader="none"/>
        </w:tabs>
      </w:pPr>
      <w:rPr>
        <w:rFonts w:hint="default"/>
      </w:rPr>
    </w:lvl>
    <w:lvl w:ilvl="7">
      <w:start w:val="1"/>
      <w:numFmt w:val="decimal"/>
      <w:isLgl w:val="false"/>
      <w:suff w:val="tab"/>
      <w:lvlText w:val="%1.%2.%3.%4.%5.%6.%7.%8."/>
      <w:lvlJc w:val="left"/>
      <w:pPr>
        <w:ind w:left="3744" w:hanging="1224"/>
        <w:tabs>
          <w:tab w:val="num" w:pos="3960" w:leader="none"/>
        </w:tabs>
      </w:pPr>
      <w:rPr>
        <w:rFonts w:hint="default"/>
      </w:rPr>
    </w:lvl>
    <w:lvl w:ilvl="8">
      <w:start w:val="1"/>
      <w:numFmt w:val="decimal"/>
      <w:isLgl w:val="false"/>
      <w:suff w:val="tab"/>
      <w:lvlText w:val="%1.%2.%3.%4.%5.%6.%7.%8.%9."/>
      <w:lvlJc w:val="left"/>
      <w:pPr>
        <w:ind w:left="4320" w:hanging="1440"/>
        <w:tabs>
          <w:tab w:val="num" w:pos="4680" w:leader="none"/>
        </w:tabs>
      </w:pPr>
      <w:rPr>
        <w:rFonts w:hint="default"/>
      </w:rPr>
    </w:lvl>
  </w:abstractNum>
  <w:abstractNum w:abstractNumId="73">
    <w:multiLevelType w:val="hybridMultilevel"/>
    <w:lvl w:ilvl="0">
      <w:start w:val="1"/>
      <w:numFmt w:val="decimal"/>
      <w:pStyle w:val="1826"/>
      <w:isLgl w:val="false"/>
      <w:suff w:val="tab"/>
      <w:lvlText w:val="%1."/>
      <w:lvlJc w:val="left"/>
      <w:pPr>
        <w:ind w:left="1021" w:hanging="454"/>
        <w:tabs>
          <w:tab w:val="num" w:pos="1021" w:leader="none"/>
        </w:tabs>
      </w:pPr>
      <w:rPr>
        <w:rFonts w:hint="default" w:ascii="Times New Roman" w:hAnsi="Times New Roman" w:cs="Arial CYR"/>
        <w:b w:val="0"/>
        <w:bCs w:val="0"/>
        <w:i w:val="0"/>
        <w:iCs w:val="0"/>
        <w:caps w:val="0"/>
        <w:smallCaps w:val="0"/>
        <w:strike w:val="0"/>
        <w:vanish w:val="0"/>
        <w:color w:val="000000"/>
        <w:spacing w:val="0"/>
        <w:position w:val="0"/>
        <w:sz w:val="24"/>
        <w:u w:val="none"/>
        <w:vertAlign w:val="baseline"/>
      </w:rPr>
    </w:lvl>
    <w:lvl w:ilvl="1">
      <w:start w:val="1"/>
      <w:numFmt w:val="decimal"/>
      <w:isLgl/>
      <w:suff w:val="tab"/>
      <w:lvlText w:val="%1.%2."/>
      <w:lvlJc w:val="left"/>
      <w:pPr>
        <w:ind w:left="1854" w:hanging="567"/>
        <w:tabs>
          <w:tab w:val="num" w:pos="1854" w:leader="none"/>
        </w:tabs>
      </w:pPr>
      <w:rPr>
        <w:rFonts w:hint="default" w:ascii="Arial CYR" w:hAnsi="Arial CYR" w:cs="Arial CYR"/>
        <w:b w:val="0"/>
        <w:i w:val="0"/>
        <w:sz w:val="24"/>
      </w:rPr>
    </w:lvl>
    <w:lvl w:ilvl="2">
      <w:start w:val="1"/>
      <w:numFmt w:val="decimal"/>
      <w:isLgl/>
      <w:suff w:val="tab"/>
      <w:lvlText w:val="%1.%2.%3."/>
      <w:lvlJc w:val="left"/>
      <w:pPr>
        <w:ind w:left="2421" w:hanging="567"/>
        <w:tabs>
          <w:tab w:val="num" w:pos="2421" w:leader="none"/>
        </w:tabs>
      </w:pPr>
      <w:rPr>
        <w:rFonts w:hint="default" w:ascii="Arial CYR" w:hAnsi="Arial CYR" w:cs="Times New Roman"/>
        <w:b w:val="0"/>
        <w:i w:val="0"/>
        <w:sz w:val="24"/>
      </w:rPr>
    </w:lvl>
    <w:lvl w:ilvl="3">
      <w:start w:val="1"/>
      <w:numFmt w:val="decimal"/>
      <w:isLgl w:val="false"/>
      <w:suff w:val="space"/>
      <w:lvlText w:val="%1.%2.%3.%4."/>
      <w:lvlJc w:val="left"/>
      <w:pPr>
        <w:ind w:left="2704" w:hanging="567"/>
      </w:pPr>
      <w:rPr>
        <w:rFonts w:hint="default" w:ascii="Arial CYR" w:hAnsi="Arial CYR" w:cs="Times New Roman"/>
        <w:b w:val="0"/>
        <w:i w:val="0"/>
        <w:sz w:val="24"/>
      </w:rPr>
    </w:lvl>
    <w:lvl w:ilvl="4">
      <w:start w:val="1"/>
      <w:numFmt w:val="decimal"/>
      <w:isLgl w:val="false"/>
      <w:suff w:val="space"/>
      <w:lvlText w:val="%1.%2.%3.%4.%5"/>
      <w:lvlJc w:val="left"/>
      <w:pPr>
        <w:ind w:left="3271" w:hanging="567"/>
      </w:pPr>
      <w:rPr>
        <w:rFonts w:hint="default" w:cs="Times New Roman"/>
      </w:rPr>
    </w:lvl>
    <w:lvl w:ilvl="5">
      <w:start w:val="1"/>
      <w:numFmt w:val="decimal"/>
      <w:isLgl w:val="false"/>
      <w:suff w:val="tab"/>
      <w:lvlText w:val="%1.%2.%3.%4.%5.%6"/>
      <w:lvlJc w:val="left"/>
      <w:pPr>
        <w:ind w:left="1588" w:hanging="1152"/>
        <w:tabs>
          <w:tab w:val="num" w:pos="1588" w:leader="none"/>
        </w:tabs>
      </w:pPr>
      <w:rPr>
        <w:rFonts w:hint="default" w:cs="Times New Roman"/>
      </w:rPr>
    </w:lvl>
    <w:lvl w:ilvl="6">
      <w:start w:val="1"/>
      <w:numFmt w:val="decimal"/>
      <w:isLgl w:val="false"/>
      <w:suff w:val="tab"/>
      <w:lvlText w:val="%1.%2.%3.%4.%5.%6.%7"/>
      <w:lvlJc w:val="left"/>
      <w:pPr>
        <w:ind w:left="1732" w:hanging="1296"/>
        <w:tabs>
          <w:tab w:val="num" w:pos="1732" w:leader="none"/>
        </w:tabs>
      </w:pPr>
      <w:rPr>
        <w:rFonts w:hint="default" w:cs="Times New Roman"/>
      </w:rPr>
    </w:lvl>
    <w:lvl w:ilvl="7">
      <w:start w:val="1"/>
      <w:numFmt w:val="decimal"/>
      <w:isLgl w:val="false"/>
      <w:suff w:val="tab"/>
      <w:lvlText w:val="%1.%2.%3.%4.%5.%6.%7.%8"/>
      <w:lvlJc w:val="left"/>
      <w:pPr>
        <w:ind w:left="1876" w:hanging="1440"/>
        <w:tabs>
          <w:tab w:val="num" w:pos="1876" w:leader="none"/>
        </w:tabs>
      </w:pPr>
      <w:rPr>
        <w:rFonts w:hint="default" w:cs="Times New Roman"/>
      </w:rPr>
    </w:lvl>
    <w:lvl w:ilvl="8">
      <w:start w:val="1"/>
      <w:numFmt w:val="decimal"/>
      <w:isLgl w:val="false"/>
      <w:suff w:val="tab"/>
      <w:lvlText w:val="%1.%2.%3.%4.%5.%6.%7.%8.%9"/>
      <w:lvlJc w:val="left"/>
      <w:pPr>
        <w:ind w:left="2020" w:hanging="1584"/>
        <w:tabs>
          <w:tab w:val="num" w:pos="2020" w:leader="none"/>
        </w:tabs>
      </w:pPr>
      <w:rPr>
        <w:rFonts w:hint="default" w:cs="Times New Roman"/>
      </w:rPr>
    </w:lvl>
  </w:abstractNum>
  <w:abstractNum w:abstractNumId="74">
    <w:multiLevelType w:val="hybridMultilevel"/>
    <w:styleLink w:val="1341"/>
    <w:lvl w:ilvl="0">
      <w:start w:val="1"/>
      <w:numFmt w:val="decimal"/>
      <w:pStyle w:val="1341"/>
      <w:isLgl w:val="false"/>
      <w:suff w:val="tab"/>
      <w:lvlText w:val="%1."/>
      <w:lvlJc w:val="left"/>
      <w:pPr>
        <w:ind w:left="360" w:hanging="360"/>
        <w:tabs>
          <w:tab w:val="num" w:pos="360" w:leader="none"/>
        </w:tabs>
      </w:pPr>
    </w:lvl>
    <w:lvl w:ilvl="1">
      <w:start w:val="1"/>
      <w:numFmt w:val="decimal"/>
      <w:isLgl w:val="false"/>
      <w:suff w:val="tab"/>
      <w:lvlText w:val="%1.%2."/>
      <w:lvlJc w:val="left"/>
      <w:pPr>
        <w:ind w:left="792" w:hanging="432"/>
        <w:tabs>
          <w:tab w:val="num" w:pos="792" w:leader="none"/>
        </w:tabs>
      </w:pPr>
    </w:lvl>
    <w:lvl w:ilvl="2">
      <w:start w:val="1"/>
      <w:numFmt w:val="decimal"/>
      <w:isLgl w:val="false"/>
      <w:suff w:val="tab"/>
      <w:lvlText w:val="%1.%2.%3."/>
      <w:lvlJc w:val="left"/>
      <w:pPr>
        <w:ind w:left="1224" w:hanging="504"/>
        <w:tabs>
          <w:tab w:val="num" w:pos="1440" w:leader="none"/>
        </w:tabs>
      </w:pPr>
    </w:lvl>
    <w:lvl w:ilvl="3">
      <w:start w:val="1"/>
      <w:numFmt w:val="decimal"/>
      <w:isLgl w:val="false"/>
      <w:suff w:val="tab"/>
      <w:lvlText w:val="%1.%2.%3.%4."/>
      <w:lvlJc w:val="left"/>
      <w:pPr>
        <w:ind w:left="1728" w:hanging="648"/>
        <w:tabs>
          <w:tab w:val="num" w:pos="1800" w:leader="none"/>
        </w:tabs>
      </w:pPr>
    </w:lvl>
    <w:lvl w:ilvl="4">
      <w:start w:val="1"/>
      <w:numFmt w:val="decimal"/>
      <w:isLgl w:val="false"/>
      <w:suff w:val="tab"/>
      <w:lvlText w:val="%1.%2.%3.%4.%5."/>
      <w:lvlJc w:val="left"/>
      <w:pPr>
        <w:ind w:left="2232" w:hanging="792"/>
        <w:tabs>
          <w:tab w:val="num" w:pos="2520" w:leader="none"/>
        </w:tabs>
      </w:pPr>
    </w:lvl>
    <w:lvl w:ilvl="5">
      <w:start w:val="1"/>
      <w:numFmt w:val="decimal"/>
      <w:isLgl w:val="false"/>
      <w:suff w:val="tab"/>
      <w:lvlText w:val="%1.%2.%3.%4.%5.%6."/>
      <w:lvlJc w:val="left"/>
      <w:pPr>
        <w:ind w:left="2736" w:hanging="936"/>
        <w:tabs>
          <w:tab w:val="num" w:pos="2880" w:leader="none"/>
        </w:tabs>
      </w:pPr>
    </w:lvl>
    <w:lvl w:ilvl="6">
      <w:start w:val="1"/>
      <w:numFmt w:val="decimal"/>
      <w:isLgl w:val="false"/>
      <w:suff w:val="tab"/>
      <w:lvlText w:val="%1.%2.%3.%4.%5.%6.%7."/>
      <w:lvlJc w:val="left"/>
      <w:pPr>
        <w:ind w:left="3240" w:hanging="1080"/>
        <w:tabs>
          <w:tab w:val="num" w:pos="3600" w:leader="none"/>
        </w:tabs>
      </w:pPr>
    </w:lvl>
    <w:lvl w:ilvl="7">
      <w:start w:val="1"/>
      <w:numFmt w:val="decimal"/>
      <w:isLgl w:val="false"/>
      <w:suff w:val="tab"/>
      <w:lvlText w:val="%1.%2.%3.%4.%5.%6.%7.%8."/>
      <w:lvlJc w:val="left"/>
      <w:pPr>
        <w:ind w:left="3744" w:hanging="1224"/>
        <w:tabs>
          <w:tab w:val="num" w:pos="3960" w:leader="none"/>
        </w:tabs>
      </w:pPr>
    </w:lvl>
    <w:lvl w:ilvl="8">
      <w:start w:val="1"/>
      <w:numFmt w:val="decimal"/>
      <w:isLgl w:val="false"/>
      <w:suff w:val="tab"/>
      <w:lvlText w:val="%1.%2.%3.%4.%5.%6.%7.%8.%9."/>
      <w:lvlJc w:val="left"/>
      <w:pPr>
        <w:ind w:left="4320" w:hanging="1440"/>
        <w:tabs>
          <w:tab w:val="num" w:pos="4680" w:leader="none"/>
        </w:tabs>
      </w:pPr>
    </w:lvl>
  </w:abstractNum>
  <w:abstractNum w:abstractNumId="75">
    <w:multiLevelType w:val="hybridMultilevel"/>
    <w:lvl w:ilvl="0">
      <w:start w:val="1"/>
      <w:numFmt w:val="decimal"/>
      <w:pStyle w:val="2050"/>
      <w:isLgl w:val="false"/>
      <w:suff w:val="tab"/>
      <w:lvlText w:val="E6.%1."/>
      <w:lvlJc w:val="left"/>
      <w:pPr>
        <w:ind w:left="417" w:hanging="360"/>
      </w:pPr>
      <w:rPr>
        <w:rFonts w:hint="default" w:ascii="Times New Roman" w:hAnsi="Times New Roman" w:cs="Times New Roman"/>
        <w:b w:val="0"/>
        <w:bCs w:val="0"/>
        <w:i w:val="0"/>
        <w:iCs w:val="0"/>
        <w:caps w:val="0"/>
        <w:smallCaps w:val="0"/>
        <w:strike w:val="0"/>
        <w:vanish w:val="0"/>
        <w:color w:val="000000"/>
        <w:spacing w:val="0"/>
        <w:position w:val="0"/>
        <w:sz w:val="24"/>
        <w:szCs w:val="24"/>
        <w:u w:val="none"/>
        <w:vertAlign w:val="baseline"/>
      </w:rPr>
    </w:lvl>
    <w:lvl w:ilvl="1">
      <w:start w:val="1"/>
      <w:numFmt w:val="lowerLetter"/>
      <w:isLgl w:val="false"/>
      <w:suff w:val="tab"/>
      <w:lvlText w:val="%2."/>
      <w:lvlJc w:val="left"/>
      <w:pPr>
        <w:ind w:left="1497" w:hanging="360"/>
      </w:pPr>
      <w:rPr>
        <w:rFonts w:cs="Times New Roman"/>
      </w:rPr>
    </w:lvl>
    <w:lvl w:ilvl="2">
      <w:start w:val="1"/>
      <w:numFmt w:val="lowerRoman"/>
      <w:isLgl w:val="false"/>
      <w:suff w:val="tab"/>
      <w:lvlText w:val="%3."/>
      <w:lvlJc w:val="right"/>
      <w:pPr>
        <w:ind w:left="2217" w:hanging="180"/>
      </w:pPr>
      <w:rPr>
        <w:rFonts w:cs="Times New Roman"/>
      </w:rPr>
    </w:lvl>
    <w:lvl w:ilvl="3">
      <w:start w:val="1"/>
      <w:numFmt w:val="decimal"/>
      <w:isLgl w:val="false"/>
      <w:suff w:val="tab"/>
      <w:lvlText w:val="%4."/>
      <w:lvlJc w:val="left"/>
      <w:pPr>
        <w:ind w:left="2937" w:hanging="360"/>
      </w:pPr>
      <w:rPr>
        <w:rFonts w:cs="Times New Roman"/>
      </w:rPr>
    </w:lvl>
    <w:lvl w:ilvl="4">
      <w:start w:val="1"/>
      <w:numFmt w:val="lowerLetter"/>
      <w:isLgl w:val="false"/>
      <w:suff w:val="tab"/>
      <w:lvlText w:val="%5."/>
      <w:lvlJc w:val="left"/>
      <w:pPr>
        <w:ind w:left="3657" w:hanging="360"/>
      </w:pPr>
      <w:rPr>
        <w:rFonts w:cs="Times New Roman"/>
      </w:rPr>
    </w:lvl>
    <w:lvl w:ilvl="5">
      <w:start w:val="1"/>
      <w:numFmt w:val="lowerRoman"/>
      <w:isLgl w:val="false"/>
      <w:suff w:val="tab"/>
      <w:lvlText w:val="%6."/>
      <w:lvlJc w:val="right"/>
      <w:pPr>
        <w:ind w:left="4377" w:hanging="180"/>
      </w:pPr>
      <w:rPr>
        <w:rFonts w:cs="Times New Roman"/>
      </w:rPr>
    </w:lvl>
    <w:lvl w:ilvl="6">
      <w:start w:val="1"/>
      <w:numFmt w:val="decimal"/>
      <w:isLgl w:val="false"/>
      <w:suff w:val="tab"/>
      <w:lvlText w:val="%7."/>
      <w:lvlJc w:val="left"/>
      <w:pPr>
        <w:ind w:left="5097" w:hanging="360"/>
      </w:pPr>
      <w:rPr>
        <w:rFonts w:cs="Times New Roman"/>
      </w:rPr>
    </w:lvl>
    <w:lvl w:ilvl="7">
      <w:start w:val="1"/>
      <w:numFmt w:val="lowerLetter"/>
      <w:isLgl w:val="false"/>
      <w:suff w:val="tab"/>
      <w:lvlText w:val="%8."/>
      <w:lvlJc w:val="left"/>
      <w:pPr>
        <w:ind w:left="5817" w:hanging="360"/>
      </w:pPr>
      <w:rPr>
        <w:rFonts w:cs="Times New Roman"/>
      </w:rPr>
    </w:lvl>
    <w:lvl w:ilvl="8">
      <w:start w:val="1"/>
      <w:numFmt w:val="lowerRoman"/>
      <w:isLgl w:val="false"/>
      <w:suff w:val="tab"/>
      <w:lvlText w:val="%9."/>
      <w:lvlJc w:val="right"/>
      <w:pPr>
        <w:ind w:left="6537" w:hanging="180"/>
      </w:pPr>
      <w:rPr>
        <w:rFonts w:cs="Times New Roman"/>
      </w:rPr>
    </w:lvl>
  </w:abstractNum>
  <w:abstractNum w:abstractNumId="76">
    <w:multiLevelType w:val="hybridMultilevel"/>
    <w:styleLink w:val="1652"/>
    <w:lvl w:ilvl="0">
      <w:start w:val="1"/>
      <w:numFmt w:val="russianLower"/>
      <w:pStyle w:val="1652"/>
      <w:isLgl w:val="false"/>
      <w:suff w:val="tab"/>
      <w:lvlText w:val="%1)"/>
      <w:lvlJc w:val="left"/>
      <w:pPr>
        <w:ind w:left="709" w:firstLine="0"/>
        <w:tabs>
          <w:tab w:val="num" w:pos="1134" w:leader="none"/>
        </w:tabs>
      </w:pPr>
      <w:rPr>
        <w:rFonts w:ascii="Times New Roman" w:hAnsi="Times New Roman" w:cs="Times New Roman"/>
        <w:b w:val="0"/>
        <w:bCs w:val="0"/>
        <w:i w:val="0"/>
        <w:iCs w:val="0"/>
        <w:caps w:val="0"/>
        <w:smallCaps w:val="0"/>
        <w:strike w:val="0"/>
        <w:vanish w:val="0"/>
        <w:color w:val="000000"/>
        <w:spacing w:val="0"/>
        <w:position w:val="0"/>
        <w:szCs w:val="0"/>
        <w:u w:val="none"/>
        <w:vertAlign w:val="baseline"/>
      </w:rPr>
    </w:lvl>
    <w:lvl w:ilvl="1">
      <w:start w:val="1"/>
      <w:numFmt w:val="decimal"/>
      <w:isLgl w:val="false"/>
      <w:suff w:val="tab"/>
      <w:lvlText w:val="%2)"/>
      <w:lvlJc w:val="left"/>
      <w:pPr>
        <w:ind w:left="1134" w:firstLine="0"/>
        <w:tabs>
          <w:tab w:val="num" w:pos="1559" w:leader="none"/>
        </w:tabs>
      </w:pPr>
      <w:rPr>
        <w:rFonts w:hint="default" w:ascii="Times New Roman" w:hAnsi="Times New Roman"/>
        <w:b w:val="0"/>
        <w:i w:val="0"/>
        <w:caps w:val="0"/>
        <w:strike w:val="0"/>
        <w:vanish w:val="0"/>
        <w:color w:val="000000"/>
        <w:spacing w:val="0"/>
        <w:position w:val="0"/>
        <w:sz w:val="24"/>
        <w:u w:val="none"/>
        <w:vertAlign w:val="baseline"/>
      </w:rPr>
    </w:lvl>
    <w:lvl w:ilvl="2">
      <w:start w:val="1"/>
      <w:numFmt w:val="none"/>
      <w:isLgl w:val="false"/>
      <w:suff w:val="tab"/>
      <w:lvlText w:val="-"/>
      <w:lvlJc w:val="left"/>
      <w:pPr>
        <w:ind w:left="1559" w:firstLine="0"/>
        <w:tabs>
          <w:tab w:val="num" w:pos="1985" w:leader="none"/>
        </w:tabs>
      </w:pPr>
      <w:rPr>
        <w:rFonts w:hint="default" w:ascii="Times New Roman" w:hAnsi="Times New Roman"/>
        <w:b w:val="0"/>
        <w:i w:val="0"/>
        <w:caps w:val="0"/>
        <w:strike w:val="0"/>
        <w:vanish w:val="0"/>
        <w:color w:val="auto"/>
        <w:spacing w:val="0"/>
        <w:position w:val="0"/>
        <w:sz w:val="24"/>
        <w:u w:val="none"/>
        <w:vertAlign w:val="baseline"/>
      </w:rPr>
    </w:lvl>
    <w:lvl w:ilvl="3">
      <w:start w:val="1"/>
      <w:numFmt w:val="none"/>
      <w:isLgl w:val="false"/>
      <w:suff w:val="tab"/>
      <w:lvlText w:val="-"/>
      <w:lvlJc w:val="left"/>
      <w:pPr>
        <w:ind w:left="1985" w:firstLine="0"/>
        <w:tabs>
          <w:tab w:val="num" w:pos="2410" w:leader="none"/>
        </w:tabs>
      </w:pPr>
      <w:rPr>
        <w:rFonts w:hint="default" w:ascii="Times New Roman" w:hAnsi="Times New Roman"/>
        <w:b w:val="0"/>
        <w:i w:val="0"/>
        <w:caps w:val="0"/>
        <w:strike w:val="0"/>
        <w:vanish w:val="0"/>
        <w:color w:val="auto"/>
        <w:spacing w:val="0"/>
        <w:position w:val="0"/>
        <w:sz w:val="24"/>
        <w:u w:val="none"/>
        <w:vertAlign w:val="baseline"/>
      </w:rPr>
    </w:lvl>
    <w:lvl w:ilvl="4">
      <w:start w:val="1"/>
      <w:numFmt w:val="none"/>
      <w:isLgl w:val="false"/>
      <w:suff w:val="tab"/>
      <w:lvlText w:val="-"/>
      <w:lvlJc w:val="left"/>
      <w:pPr>
        <w:ind w:left="2410" w:firstLine="0"/>
        <w:tabs>
          <w:tab w:val="num" w:pos="2835" w:leader="none"/>
        </w:tabs>
      </w:pPr>
      <w:rPr>
        <w:rFonts w:hint="default" w:ascii="Times New Roman" w:hAnsi="Times New Roman"/>
        <w:b w:val="0"/>
        <w:i w:val="0"/>
        <w:caps w:val="0"/>
        <w:strike w:val="0"/>
        <w:vanish w:val="0"/>
        <w:color w:val="auto"/>
        <w:sz w:val="24"/>
        <w:u w:val="none"/>
        <w:vertAlign w:val="baseline"/>
      </w:rPr>
    </w:lvl>
    <w:lvl w:ilvl="5">
      <w:start w:val="1"/>
      <w:numFmt w:val="none"/>
      <w:isLgl w:val="false"/>
      <w:suff w:val="tab"/>
      <w:lvlText w:val="-"/>
      <w:lvlJc w:val="left"/>
      <w:pPr>
        <w:ind w:left="2835" w:firstLine="0"/>
        <w:tabs>
          <w:tab w:val="num" w:pos="3260" w:leader="none"/>
        </w:tabs>
      </w:pPr>
      <w:rPr>
        <w:rFonts w:hint="default" w:ascii="Times New Roman" w:hAnsi="Times New Roman"/>
        <w:b w:val="0"/>
        <w:i w:val="0"/>
        <w:caps w:val="0"/>
        <w:strike w:val="0"/>
        <w:vanish w:val="0"/>
        <w:color w:val="auto"/>
        <w:spacing w:val="0"/>
        <w:position w:val="0"/>
        <w:sz w:val="24"/>
        <w:vertAlign w:val="baseline"/>
      </w:rPr>
    </w:lvl>
    <w:lvl w:ilvl="6">
      <w:start w:val="1"/>
      <w:numFmt w:val="none"/>
      <w:isLgl w:val="false"/>
      <w:suff w:val="tab"/>
      <w:lvlText w:val="-"/>
      <w:lvlJc w:val="left"/>
      <w:pPr>
        <w:ind w:left="2835" w:firstLine="0"/>
        <w:tabs>
          <w:tab w:val="num" w:pos="2835" w:leader="none"/>
        </w:tabs>
      </w:pPr>
      <w:rPr>
        <w:rFonts w:hint="default"/>
      </w:rPr>
    </w:lvl>
    <w:lvl w:ilvl="7">
      <w:start w:val="1"/>
      <w:numFmt w:val="none"/>
      <w:isLgl w:val="false"/>
      <w:suff w:val="tab"/>
      <w:lvlText w:val="-"/>
      <w:lvlJc w:val="left"/>
      <w:pPr>
        <w:ind w:left="2835" w:firstLine="0"/>
      </w:pPr>
      <w:rPr>
        <w:rFonts w:hint="default"/>
      </w:rPr>
    </w:lvl>
    <w:lvl w:ilvl="8">
      <w:start w:val="1"/>
      <w:numFmt w:val="none"/>
      <w:isLgl w:val="false"/>
      <w:suff w:val="tab"/>
      <w:lvlText w:val="-"/>
      <w:lvlJc w:val="left"/>
      <w:pPr>
        <w:ind w:left="2835" w:firstLine="0"/>
      </w:pPr>
      <w:rPr>
        <w:rFonts w:hint="default"/>
      </w:rPr>
    </w:lvl>
  </w:abstractNum>
  <w:abstractNum w:abstractNumId="77">
    <w:multiLevelType w:val="hybridMultilevel"/>
    <w:lvl w:ilvl="0">
      <w:start w:val="1"/>
      <w:numFmt w:val="decimal"/>
      <w:pStyle w:val="1729"/>
      <w:isLgl w:val="false"/>
      <w:suff w:val="tab"/>
      <w:lvlText w:val="%1."/>
      <w:lvlJc w:val="left"/>
      <w:pPr>
        <w:ind w:left="1134" w:hanging="567"/>
        <w:tabs>
          <w:tab w:val="num" w:pos="1134" w:leader="none"/>
        </w:tabs>
      </w:pPr>
      <w:rPr>
        <w:rFonts w:hint="default"/>
      </w:r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78">
    <w:multiLevelType w:val="hybridMultilevel"/>
    <w:lvl w:ilvl="0">
      <w:start w:val="1"/>
      <w:numFmt w:val="bullet"/>
      <w:pStyle w:val="1938"/>
      <w:isLgl w:val="false"/>
      <w:suff w:val="tab"/>
      <w:lvlText w:val="−"/>
      <w:lvlJc w:val="left"/>
      <w:pPr>
        <w:ind w:left="720" w:hanging="360"/>
      </w:pPr>
      <w:rPr>
        <w:rFonts w:hint="default" w:ascii="Times New Roman" w:hAnsi="Times New Roman" w:cs="Times New Roman"/>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79">
    <w:multiLevelType w:val="hybridMultilevel"/>
    <w:lvl w:ilvl="0">
      <w:start w:val="1"/>
      <w:numFmt w:val="decimal"/>
      <w:pStyle w:val="2279"/>
      <w:isLgl w:val="false"/>
      <w:suff w:val="tab"/>
      <w:lvlText w:val="1.1.%1."/>
      <w:lvlJc w:val="left"/>
      <w:pPr>
        <w:ind w:left="720" w:hanging="360"/>
      </w:pPr>
      <w:rPr>
        <w:rFonts w:hint="default" w:ascii="Times New Roman" w:hAnsi="Times New Roman" w:cs="Times New Roman"/>
      </w:rPr>
    </w:lvl>
    <w:lvl w:ilvl="1">
      <w:start w:val="1"/>
      <w:numFmt w:val="lowerLetter"/>
      <w:pStyle w:val="2279"/>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80">
    <w:multiLevelType w:val="hybridMultilevel"/>
    <w:lvl w:ilvl="0">
      <w:start w:val="1"/>
      <w:numFmt w:val="decimal"/>
      <w:isLgl w:val="false"/>
      <w:suff w:val="tab"/>
      <w:lvlText w:val="%1."/>
      <w:lvlJc w:val="left"/>
      <w:pPr>
        <w:ind w:left="927" w:hanging="360"/>
      </w:pPr>
      <w:rPr>
        <w:rFonts w:hint="default"/>
      </w:r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81">
    <w:multiLevelType w:val="hybridMultilevel"/>
    <w:lvl w:ilvl="0">
      <w:start w:val="1"/>
      <w:numFmt w:val="bullet"/>
      <w:pStyle w:val="2244"/>
      <w:isLgl w:val="false"/>
      <w:suff w:val="tab"/>
      <w:lvlText w:val="–"/>
      <w:lvlJc w:val="left"/>
      <w:pPr>
        <w:ind w:left="1844" w:hanging="284"/>
        <w:tabs>
          <w:tab w:val="num" w:pos="1844" w:leader="none"/>
        </w:tabs>
      </w:pPr>
      <w:rPr>
        <w:rFonts w:hint="default" w:ascii="Verdana" w:hAnsi="Verdana"/>
        <w:color w:val="auto"/>
        <w:sz w:val="24"/>
      </w:rPr>
    </w:lvl>
    <w:lvl w:ilvl="1">
      <w:start w:val="1"/>
      <w:numFmt w:val="bullet"/>
      <w:isLgl w:val="false"/>
      <w:suff w:val="tab"/>
      <w:lvlText w:val="―"/>
      <w:lvlJc w:val="left"/>
      <w:pPr>
        <w:ind w:left="1701" w:hanging="284"/>
        <w:tabs>
          <w:tab w:val="num" w:pos="1701" w:leader="none"/>
        </w:tabs>
      </w:pPr>
      <w:rPr>
        <w:rFonts w:hint="default" w:ascii="Verdana" w:hAnsi="Verdana"/>
        <w:color w:val="auto"/>
        <w:sz w:val="16"/>
      </w:rPr>
    </w:lvl>
    <w:lvl w:ilvl="2">
      <w:start w:val="1"/>
      <w:numFmt w:val="bullet"/>
      <w:isLgl w:val="false"/>
      <w:suff w:val="tab"/>
      <w:lvlText w:val="–"/>
      <w:lvlJc w:val="left"/>
      <w:pPr>
        <w:ind w:left="1985" w:hanging="284"/>
        <w:tabs>
          <w:tab w:val="num" w:pos="1985" w:leader="none"/>
        </w:tabs>
      </w:pPr>
      <w:rPr>
        <w:rFonts w:hint="default" w:ascii="Verdana" w:hAnsi="Verdana"/>
        <w:b/>
        <w:i w:val="0"/>
        <w:sz w:val="24"/>
      </w:rPr>
    </w:lvl>
    <w:lvl w:ilvl="3">
      <w:start w:val="1"/>
      <w:numFmt w:val="bullet"/>
      <w:isLgl w:val="false"/>
      <w:suff w:val="tab"/>
      <w:lvlText w:val="–"/>
      <w:lvlJc w:val="left"/>
      <w:pPr>
        <w:ind w:left="2268" w:hanging="283"/>
        <w:tabs>
          <w:tab w:val="num" w:pos="2268" w:leader="none"/>
        </w:tabs>
      </w:pPr>
      <w:rPr>
        <w:rFonts w:hint="default" w:ascii="Verdana" w:hAnsi="Verdana"/>
      </w:rPr>
    </w:lvl>
    <w:lvl w:ilvl="4">
      <w:start w:val="1"/>
      <w:numFmt w:val="bullet"/>
      <w:isLgl w:val="false"/>
      <w:suff w:val="tab"/>
      <w:lvlText w:val=""/>
      <w:lvlJc w:val="left"/>
      <w:pPr>
        <w:ind w:left="2797" w:hanging="360"/>
        <w:tabs>
          <w:tab w:val="num" w:pos="2797" w:leader="none"/>
        </w:tabs>
      </w:pPr>
      <w:rPr>
        <w:rFonts w:hint="default" w:ascii="Symbol" w:hAnsi="Symbol"/>
      </w:rPr>
    </w:lvl>
    <w:lvl w:ilvl="5">
      <w:start w:val="1"/>
      <w:numFmt w:val="bullet"/>
      <w:isLgl w:val="false"/>
      <w:suff w:val="tab"/>
      <w:lvlText w:val=""/>
      <w:lvlJc w:val="left"/>
      <w:pPr>
        <w:ind w:left="3157" w:hanging="360"/>
        <w:tabs>
          <w:tab w:val="num" w:pos="3157" w:leader="none"/>
        </w:tabs>
      </w:pPr>
      <w:rPr>
        <w:rFonts w:hint="default" w:ascii="Wingdings" w:hAnsi="Wingdings"/>
      </w:rPr>
    </w:lvl>
    <w:lvl w:ilvl="6">
      <w:start w:val="1"/>
      <w:numFmt w:val="bullet"/>
      <w:isLgl w:val="false"/>
      <w:suff w:val="tab"/>
      <w:lvlText w:val=""/>
      <w:lvlJc w:val="left"/>
      <w:pPr>
        <w:ind w:left="3517" w:hanging="360"/>
        <w:tabs>
          <w:tab w:val="num" w:pos="3517" w:leader="none"/>
        </w:tabs>
      </w:pPr>
      <w:rPr>
        <w:rFonts w:hint="default" w:ascii="Wingdings" w:hAnsi="Wingdings"/>
      </w:rPr>
    </w:lvl>
    <w:lvl w:ilvl="7">
      <w:start w:val="1"/>
      <w:numFmt w:val="bullet"/>
      <w:isLgl w:val="false"/>
      <w:suff w:val="tab"/>
      <w:lvlText w:val=""/>
      <w:lvlJc w:val="left"/>
      <w:pPr>
        <w:ind w:left="3877" w:hanging="360"/>
        <w:tabs>
          <w:tab w:val="num" w:pos="3877" w:leader="none"/>
        </w:tabs>
      </w:pPr>
      <w:rPr>
        <w:rFonts w:hint="default" w:ascii="Symbol" w:hAnsi="Symbol"/>
      </w:rPr>
    </w:lvl>
    <w:lvl w:ilvl="8">
      <w:start w:val="1"/>
      <w:numFmt w:val="bullet"/>
      <w:isLgl w:val="false"/>
      <w:suff w:val="tab"/>
      <w:lvlText w:val=""/>
      <w:lvlJc w:val="left"/>
      <w:pPr>
        <w:ind w:left="4237" w:hanging="360"/>
        <w:tabs>
          <w:tab w:val="num" w:pos="4237" w:leader="none"/>
        </w:tabs>
      </w:pPr>
      <w:rPr>
        <w:rFonts w:hint="default" w:ascii="Symbol" w:hAnsi="Symbol"/>
      </w:rPr>
    </w:lvl>
  </w:abstractNum>
  <w:abstractNum w:abstractNumId="82">
    <w:multiLevelType w:val="hybridMultilevel"/>
    <w:lvl w:ilvl="0">
      <w:start w:val="1"/>
      <w:numFmt w:val="bullet"/>
      <w:pStyle w:val="1297"/>
      <w:isLgl w:val="false"/>
      <w:suff w:val="tab"/>
      <w:lvlText w:val="–"/>
      <w:lvlJc w:val="left"/>
      <w:pPr>
        <w:ind w:left="1134" w:hanging="283"/>
        <w:tabs>
          <w:tab w:val="num" w:pos="1134" w:leader="none"/>
        </w:tabs>
      </w:pPr>
      <w:rPr>
        <w:rFonts w:hint="default" w:ascii="Times New Roman" w:hAnsi="Times New Roman" w:cs="Times New Roman"/>
      </w:rPr>
    </w:lvl>
    <w:lvl w:ilvl="1">
      <w:start w:val="1"/>
      <w:numFmt w:val="bullet"/>
      <w:isLgl w:val="false"/>
      <w:suff w:val="tab"/>
      <w:lvlText w:val="o"/>
      <w:lvlJc w:val="left"/>
      <w:pPr>
        <w:ind w:left="1440" w:hanging="360"/>
        <w:tabs>
          <w:tab w:val="num" w:pos="1440" w:leader="none"/>
        </w:tabs>
      </w:pPr>
      <w:rPr>
        <w:rFonts w:hint="default" w:ascii="Courier New" w:hAnsi="Courier New" w:cs="Courier New"/>
      </w:rPr>
    </w:lvl>
    <w:lvl w:ilvl="2">
      <w:start w:val="1"/>
      <w:numFmt w:val="bullet"/>
      <w:isLgl w:val="false"/>
      <w:suff w:val="tab"/>
      <w:lvlText w:val=""/>
      <w:lvlJc w:val="left"/>
      <w:pPr>
        <w:ind w:left="2160" w:hanging="360"/>
        <w:tabs>
          <w:tab w:val="num" w:pos="2160" w:leader="none"/>
        </w:tabs>
      </w:pPr>
      <w:rPr>
        <w:rFonts w:hint="default" w:ascii="Wingdings" w:hAnsi="Wingdings"/>
      </w:rPr>
    </w:lvl>
    <w:lvl w:ilvl="3">
      <w:start w:val="1"/>
      <w:numFmt w:val="bullet"/>
      <w:isLgl w:val="false"/>
      <w:suff w:val="tab"/>
      <w:lvlText w:val=""/>
      <w:lvlJc w:val="left"/>
      <w:pPr>
        <w:ind w:left="2880" w:hanging="360"/>
        <w:tabs>
          <w:tab w:val="num" w:pos="2880" w:leader="none"/>
        </w:tabs>
      </w:pPr>
      <w:rPr>
        <w:rFonts w:hint="default" w:ascii="Symbol" w:hAnsi="Symbol"/>
      </w:rPr>
    </w:lvl>
    <w:lvl w:ilvl="4">
      <w:start w:val="1"/>
      <w:numFmt w:val="bullet"/>
      <w:isLgl w:val="false"/>
      <w:suff w:val="tab"/>
      <w:lvlText w:val="o"/>
      <w:lvlJc w:val="left"/>
      <w:pPr>
        <w:ind w:left="3600" w:hanging="360"/>
        <w:tabs>
          <w:tab w:val="num" w:pos="3600" w:leader="none"/>
        </w:tabs>
      </w:pPr>
      <w:rPr>
        <w:rFonts w:hint="default" w:ascii="Courier New" w:hAnsi="Courier New" w:cs="Courier New"/>
      </w:rPr>
    </w:lvl>
    <w:lvl w:ilvl="5">
      <w:start w:val="1"/>
      <w:numFmt w:val="bullet"/>
      <w:isLgl w:val="false"/>
      <w:suff w:val="tab"/>
      <w:lvlText w:val=""/>
      <w:lvlJc w:val="left"/>
      <w:pPr>
        <w:ind w:left="4320" w:hanging="360"/>
        <w:tabs>
          <w:tab w:val="num" w:pos="4320" w:leader="none"/>
        </w:tabs>
      </w:pPr>
      <w:rPr>
        <w:rFonts w:hint="default" w:ascii="Wingdings" w:hAnsi="Wingdings"/>
      </w:rPr>
    </w:lvl>
    <w:lvl w:ilvl="6">
      <w:start w:val="1"/>
      <w:numFmt w:val="bullet"/>
      <w:isLgl w:val="false"/>
      <w:suff w:val="tab"/>
      <w:lvlText w:val=""/>
      <w:lvlJc w:val="left"/>
      <w:pPr>
        <w:ind w:left="5040" w:hanging="360"/>
        <w:tabs>
          <w:tab w:val="num" w:pos="5040" w:leader="none"/>
        </w:tabs>
      </w:pPr>
      <w:rPr>
        <w:rFonts w:hint="default" w:ascii="Symbol" w:hAnsi="Symbol"/>
      </w:rPr>
    </w:lvl>
    <w:lvl w:ilvl="7">
      <w:start w:val="1"/>
      <w:numFmt w:val="bullet"/>
      <w:isLgl w:val="false"/>
      <w:suff w:val="tab"/>
      <w:lvlText w:val="o"/>
      <w:lvlJc w:val="left"/>
      <w:pPr>
        <w:ind w:left="5760" w:hanging="360"/>
        <w:tabs>
          <w:tab w:val="num" w:pos="5760" w:leader="none"/>
        </w:tabs>
      </w:pPr>
      <w:rPr>
        <w:rFonts w:hint="default" w:ascii="Courier New" w:hAnsi="Courier New" w:cs="Courier New"/>
      </w:rPr>
    </w:lvl>
    <w:lvl w:ilvl="8">
      <w:start w:val="1"/>
      <w:numFmt w:val="bullet"/>
      <w:isLgl w:val="false"/>
      <w:suff w:val="tab"/>
      <w:lvlText w:val=""/>
      <w:lvlJc w:val="left"/>
      <w:pPr>
        <w:ind w:left="6480" w:hanging="360"/>
        <w:tabs>
          <w:tab w:val="num" w:pos="6480" w:leader="none"/>
        </w:tabs>
      </w:pPr>
      <w:rPr>
        <w:rFonts w:hint="default" w:ascii="Wingdings" w:hAnsi="Wingdings"/>
      </w:rPr>
    </w:lvl>
  </w:abstractNum>
  <w:abstractNum w:abstractNumId="83">
    <w:multiLevelType w:val="hybridMultilevel"/>
    <w:lvl w:ilvl="0">
      <w:start w:val="1"/>
      <w:numFmt w:val="bullet"/>
      <w:pStyle w:val="1299"/>
      <w:isLgl w:val="false"/>
      <w:suff w:val="tab"/>
      <w:lvlText w:val=""/>
      <w:lvlJc w:val="left"/>
      <w:pPr>
        <w:ind w:left="1701" w:hanging="283"/>
        <w:tabs>
          <w:tab w:val="num" w:pos="1701" w:leader="none"/>
        </w:tabs>
      </w:pPr>
      <w:rPr>
        <w:rFonts w:hint="default" w:ascii="Symbol" w:hAnsi="Symbol"/>
      </w:rPr>
    </w:lvl>
    <w:lvl w:ilvl="1">
      <w:start w:val="1"/>
      <w:numFmt w:val="bullet"/>
      <w:isLgl w:val="false"/>
      <w:suff w:val="tab"/>
      <w:lvlText w:val="o"/>
      <w:lvlJc w:val="left"/>
      <w:pPr>
        <w:ind w:left="1491" w:hanging="360"/>
        <w:tabs>
          <w:tab w:val="num" w:pos="1491" w:leader="none"/>
        </w:tabs>
      </w:pPr>
      <w:rPr>
        <w:rFonts w:hint="default" w:ascii="Courier New" w:hAnsi="Courier New" w:cs="Courier New"/>
      </w:rPr>
    </w:lvl>
    <w:lvl w:ilvl="2">
      <w:start w:val="1"/>
      <w:numFmt w:val="bullet"/>
      <w:isLgl w:val="false"/>
      <w:suff w:val="tab"/>
      <w:lvlText w:val=""/>
      <w:lvlJc w:val="left"/>
      <w:pPr>
        <w:ind w:left="2211" w:hanging="360"/>
        <w:tabs>
          <w:tab w:val="num" w:pos="2211" w:leader="none"/>
        </w:tabs>
      </w:pPr>
      <w:rPr>
        <w:rFonts w:hint="default" w:ascii="Wingdings" w:hAnsi="Wingdings"/>
      </w:rPr>
    </w:lvl>
    <w:lvl w:ilvl="3">
      <w:start w:val="1"/>
      <w:numFmt w:val="bullet"/>
      <w:isLgl w:val="false"/>
      <w:suff w:val="tab"/>
      <w:lvlText w:val=""/>
      <w:lvlJc w:val="left"/>
      <w:pPr>
        <w:ind w:left="2931" w:hanging="360"/>
        <w:tabs>
          <w:tab w:val="num" w:pos="2931" w:leader="none"/>
        </w:tabs>
      </w:pPr>
      <w:rPr>
        <w:rFonts w:hint="default" w:ascii="Symbol" w:hAnsi="Symbol"/>
      </w:rPr>
    </w:lvl>
    <w:lvl w:ilvl="4">
      <w:start w:val="1"/>
      <w:numFmt w:val="bullet"/>
      <w:isLgl w:val="false"/>
      <w:suff w:val="tab"/>
      <w:lvlText w:val="o"/>
      <w:lvlJc w:val="left"/>
      <w:pPr>
        <w:ind w:left="3651" w:hanging="360"/>
        <w:tabs>
          <w:tab w:val="num" w:pos="3651" w:leader="none"/>
        </w:tabs>
      </w:pPr>
      <w:rPr>
        <w:rFonts w:hint="default" w:ascii="Courier New" w:hAnsi="Courier New" w:cs="Courier New"/>
      </w:rPr>
    </w:lvl>
    <w:lvl w:ilvl="5">
      <w:start w:val="1"/>
      <w:numFmt w:val="bullet"/>
      <w:isLgl w:val="false"/>
      <w:suff w:val="tab"/>
      <w:lvlText w:val=""/>
      <w:lvlJc w:val="left"/>
      <w:pPr>
        <w:ind w:left="4371" w:hanging="360"/>
        <w:tabs>
          <w:tab w:val="num" w:pos="4371" w:leader="none"/>
        </w:tabs>
      </w:pPr>
      <w:rPr>
        <w:rFonts w:hint="default" w:ascii="Wingdings" w:hAnsi="Wingdings"/>
      </w:rPr>
    </w:lvl>
    <w:lvl w:ilvl="6">
      <w:start w:val="1"/>
      <w:numFmt w:val="bullet"/>
      <w:isLgl w:val="false"/>
      <w:suff w:val="tab"/>
      <w:lvlText w:val=""/>
      <w:lvlJc w:val="left"/>
      <w:pPr>
        <w:ind w:left="5091" w:hanging="360"/>
        <w:tabs>
          <w:tab w:val="num" w:pos="5091" w:leader="none"/>
        </w:tabs>
      </w:pPr>
      <w:rPr>
        <w:rFonts w:hint="default" w:ascii="Symbol" w:hAnsi="Symbol"/>
      </w:rPr>
    </w:lvl>
    <w:lvl w:ilvl="7">
      <w:start w:val="1"/>
      <w:numFmt w:val="bullet"/>
      <w:isLgl w:val="false"/>
      <w:suff w:val="tab"/>
      <w:lvlText w:val="o"/>
      <w:lvlJc w:val="left"/>
      <w:pPr>
        <w:ind w:left="5811" w:hanging="360"/>
        <w:tabs>
          <w:tab w:val="num" w:pos="5811" w:leader="none"/>
        </w:tabs>
      </w:pPr>
      <w:rPr>
        <w:rFonts w:hint="default" w:ascii="Courier New" w:hAnsi="Courier New" w:cs="Courier New"/>
      </w:rPr>
    </w:lvl>
    <w:lvl w:ilvl="8">
      <w:start w:val="1"/>
      <w:numFmt w:val="bullet"/>
      <w:isLgl w:val="false"/>
      <w:suff w:val="tab"/>
      <w:lvlText w:val=""/>
      <w:lvlJc w:val="left"/>
      <w:pPr>
        <w:ind w:left="6531" w:hanging="360"/>
        <w:tabs>
          <w:tab w:val="num" w:pos="6531" w:leader="none"/>
        </w:tabs>
      </w:pPr>
      <w:rPr>
        <w:rFonts w:hint="default" w:ascii="Wingdings" w:hAnsi="Wingdings"/>
      </w:rPr>
    </w:lvl>
  </w:abstractNum>
  <w:abstractNum w:abstractNumId="84">
    <w:multiLevelType w:val="hybridMultilevel"/>
    <w:styleLink w:val="1941"/>
    <w:lvl w:ilvl="0">
      <w:start w:val="1"/>
      <w:numFmt w:val="upperLetter"/>
      <w:pStyle w:val="1941"/>
      <w:isLgl w:val="false"/>
      <w:suff w:val="tab"/>
      <w:lvlText w:val="Приложение %1"/>
      <w:lvlJc w:val="left"/>
      <w:pPr>
        <w:ind w:left="0" w:firstLine="0"/>
        <w:tabs>
          <w:tab w:val="num" w:pos="0" w:leader="none"/>
        </w:tabs>
      </w:pPr>
      <w:rPr>
        <w:rFonts w:hint="default"/>
      </w:rPr>
    </w:lvl>
    <w:lvl w:ilvl="1">
      <w:start w:val="1"/>
      <w:numFmt w:val="decimal"/>
      <w:isLgl w:val="false"/>
      <w:suff w:val="tab"/>
      <w:lvlText w:val="%1.%2"/>
      <w:lvlJc w:val="left"/>
      <w:pPr>
        <w:ind w:left="720" w:firstLine="0"/>
        <w:tabs>
          <w:tab w:val="num" w:pos="720" w:leader="none"/>
        </w:tabs>
      </w:pPr>
      <w:rPr>
        <w:rFonts w:hint="default"/>
      </w:rPr>
    </w:lvl>
    <w:lvl w:ilvl="2">
      <w:start w:val="1"/>
      <w:numFmt w:val="decimal"/>
      <w:isLgl w:val="false"/>
      <w:suff w:val="tab"/>
      <w:lvlText w:val="%1.%2.%3"/>
      <w:lvlJc w:val="left"/>
      <w:pPr>
        <w:ind w:left="720" w:firstLine="0"/>
        <w:tabs>
          <w:tab w:val="num" w:pos="720" w:leader="none"/>
        </w:tabs>
      </w:pPr>
      <w:rPr>
        <w:rFonts w:hint="default"/>
      </w:rPr>
    </w:lvl>
    <w:lvl w:ilvl="3">
      <w:start w:val="1"/>
      <w:numFmt w:val="decimal"/>
      <w:isLgl w:val="false"/>
      <w:suff w:val="tab"/>
      <w:lvlText w:val="%1.%2.%3.%4"/>
      <w:lvlJc w:val="left"/>
      <w:pPr>
        <w:ind w:left="3738" w:hanging="864"/>
        <w:tabs>
          <w:tab w:val="num" w:pos="3738" w:leader="none"/>
        </w:tabs>
      </w:pPr>
      <w:rPr>
        <w:rFonts w:hint="default"/>
      </w:rPr>
    </w:lvl>
    <w:lvl w:ilvl="4">
      <w:start w:val="1"/>
      <w:numFmt w:val="decimal"/>
      <w:isLgl w:val="false"/>
      <w:suff w:val="tab"/>
      <w:lvlText w:val="%1.%2.%3.%4.%5"/>
      <w:lvlJc w:val="left"/>
      <w:pPr>
        <w:ind w:left="3882" w:hanging="1008"/>
        <w:tabs>
          <w:tab w:val="num" w:pos="3882" w:leader="none"/>
        </w:tabs>
      </w:pPr>
      <w:rPr>
        <w:rFonts w:hint="default"/>
      </w:rPr>
    </w:lvl>
    <w:lvl w:ilvl="5">
      <w:start w:val="1"/>
      <w:numFmt w:val="decimal"/>
      <w:isLgl w:val="false"/>
      <w:suff w:val="tab"/>
      <w:lvlText w:val="%1.%2.%3.%4.%5.%6"/>
      <w:lvlJc w:val="left"/>
      <w:pPr>
        <w:ind w:left="4026" w:hanging="1152"/>
        <w:tabs>
          <w:tab w:val="num" w:pos="4026" w:leader="none"/>
        </w:tabs>
      </w:pPr>
      <w:rPr>
        <w:rFonts w:hint="default"/>
      </w:rPr>
    </w:lvl>
    <w:lvl w:ilvl="6">
      <w:start w:val="1"/>
      <w:numFmt w:val="decimal"/>
      <w:isLgl w:val="false"/>
      <w:suff w:val="tab"/>
      <w:lvlText w:val="%1.%2.%3.%4.%5.%6.%7"/>
      <w:lvlJc w:val="left"/>
      <w:pPr>
        <w:ind w:left="4170" w:hanging="1296"/>
        <w:tabs>
          <w:tab w:val="num" w:pos="4170" w:leader="none"/>
        </w:tabs>
      </w:pPr>
      <w:rPr>
        <w:rFonts w:hint="default"/>
      </w:rPr>
    </w:lvl>
    <w:lvl w:ilvl="7">
      <w:start w:val="1"/>
      <w:numFmt w:val="decimal"/>
      <w:isLgl w:val="false"/>
      <w:suff w:val="tab"/>
      <w:lvlText w:val="%1.%2.%3.%4.%5.%6.%7.%8"/>
      <w:lvlJc w:val="left"/>
      <w:pPr>
        <w:ind w:left="4314" w:hanging="1440"/>
        <w:tabs>
          <w:tab w:val="num" w:pos="4314" w:leader="none"/>
        </w:tabs>
      </w:pPr>
      <w:rPr>
        <w:rFonts w:hint="default"/>
      </w:rPr>
    </w:lvl>
    <w:lvl w:ilvl="8">
      <w:start w:val="1"/>
      <w:numFmt w:val="decimal"/>
      <w:isLgl w:val="false"/>
      <w:suff w:val="tab"/>
      <w:lvlText w:val="%1.%2.%3.%4.%5.%6.%7.%8.%9"/>
      <w:lvlJc w:val="left"/>
      <w:pPr>
        <w:ind w:left="4458" w:hanging="1584"/>
        <w:tabs>
          <w:tab w:val="num" w:pos="4458" w:leader="none"/>
        </w:tabs>
      </w:pPr>
      <w:rPr>
        <w:rFonts w:hint="default"/>
      </w:rPr>
    </w:lvl>
  </w:abstractNum>
  <w:abstractNum w:abstractNumId="85">
    <w:multiLevelType w:val="hybridMultilevel"/>
    <w:lvl w:ilvl="0">
      <w:start w:val="1"/>
      <w:numFmt w:val="decimal"/>
      <w:pStyle w:val="1578"/>
      <w:isLgl w:val="false"/>
      <w:suff w:val="tab"/>
      <w:lvlText w:val="%1."/>
      <w:lvlJc w:val="left"/>
      <w:pPr>
        <w:ind w:left="567" w:hanging="567"/>
        <w:tabs>
          <w:tab w:val="num" w:pos="567" w:leader="none"/>
        </w:tabs>
      </w:pPr>
      <w:rPr>
        <w:rFonts w:hint="default"/>
      </w:rPr>
    </w:lvl>
    <w:lvl w:ilvl="1">
      <w:start w:val="1"/>
      <w:numFmt w:val="decimal"/>
      <w:isLgl w:val="false"/>
      <w:suff w:val="tab"/>
      <w:lvlText w:val="%1.%2."/>
      <w:lvlJc w:val="left"/>
      <w:pPr>
        <w:ind w:left="851" w:hanging="851"/>
        <w:tabs>
          <w:tab w:val="num" w:pos="851" w:leader="none"/>
        </w:tabs>
      </w:pPr>
      <w:rPr>
        <w:rFonts w:hint="default" w:ascii="Times New Roman" w:hAnsi="Times New Roman" w:cs="Times New Roman"/>
        <w:b/>
        <w:i w:val="0"/>
        <w:sz w:val="32"/>
        <w:szCs w:val="32"/>
      </w:rPr>
    </w:lvl>
    <w:lvl w:ilvl="2">
      <w:start w:val="1"/>
      <w:numFmt w:val="decimal"/>
      <w:isLgl w:val="false"/>
      <w:suff w:val="tab"/>
      <w:lvlText w:val="%1.%2.%3."/>
      <w:lvlJc w:val="left"/>
      <w:pPr>
        <w:ind w:left="964" w:hanging="964"/>
        <w:tabs>
          <w:tab w:val="num" w:pos="964" w:leader="none"/>
        </w:tabs>
      </w:pPr>
      <w:rPr>
        <w:rFonts w:hint="default" w:ascii="Times New Roman" w:hAnsi="Times New Roman"/>
        <w:b/>
        <w:i w:val="0"/>
        <w:sz w:val="28"/>
        <w:szCs w:val="28"/>
      </w:rPr>
    </w:lvl>
    <w:lvl w:ilvl="3">
      <w:start w:val="1"/>
      <w:numFmt w:val="decimal"/>
      <w:isLgl w:val="false"/>
      <w:suff w:val="tab"/>
      <w:lvlText w:val="%1.%2.%3.%4."/>
      <w:lvlJc w:val="left"/>
      <w:pPr>
        <w:ind w:left="1134" w:hanging="1134"/>
        <w:tabs>
          <w:tab w:val="num" w:pos="1134" w:leader="none"/>
        </w:tabs>
      </w:pPr>
      <w:rPr>
        <w:rFonts w:ascii="Times New Roman" w:hAnsi="Times New Roman" w:cs="Times New Roman"/>
        <w:b/>
        <w:bCs w:val="0"/>
        <w:i w:val="0"/>
        <w:iCs w:val="0"/>
        <w:caps w:val="0"/>
        <w:smallCaps w:val="0"/>
        <w:strike w:val="0"/>
        <w:vanish w:val="0"/>
        <w:color w:val="000000"/>
        <w:spacing w:val="0"/>
        <w:position w:val="0"/>
        <w:szCs w:val="0"/>
        <w:u w:val="none"/>
        <w:vertAlign w:val="baseline"/>
      </w:rPr>
    </w:lvl>
    <w:lvl w:ilvl="4">
      <w:start w:val="1"/>
      <w:numFmt w:val="decimal"/>
      <w:isLgl w:val="false"/>
      <w:suff w:val="tab"/>
      <w:lvlText w:val="%1.%2.%3.%4.%5."/>
      <w:lvlJc w:val="left"/>
      <w:pPr>
        <w:ind w:left="724" w:hanging="1008"/>
        <w:tabs>
          <w:tab w:val="num" w:pos="724" w:leader="none"/>
        </w:tabs>
      </w:pPr>
      <w:rPr>
        <w:rFonts w:hint="default"/>
      </w:rPr>
    </w:lvl>
    <w:lvl w:ilvl="5">
      <w:start w:val="1"/>
      <w:numFmt w:val="decimal"/>
      <w:pStyle w:val="1578"/>
      <w:isLgl w:val="false"/>
      <w:suff w:val="tab"/>
      <w:lvlText w:val="%1.%2.%3.%4.%5.%6"/>
      <w:lvlJc w:val="left"/>
      <w:pPr>
        <w:ind w:left="868" w:hanging="1152"/>
        <w:tabs>
          <w:tab w:val="num" w:pos="868" w:leader="none"/>
        </w:tabs>
      </w:pPr>
      <w:rPr>
        <w:rFonts w:hint="default"/>
      </w:rPr>
    </w:lvl>
    <w:lvl w:ilvl="6">
      <w:start w:val="1"/>
      <w:numFmt w:val="decimal"/>
      <w:isLgl w:val="false"/>
      <w:suff w:val="tab"/>
      <w:lvlText w:val="%1.%2.%3.%4.%5.%6.%7"/>
      <w:lvlJc w:val="left"/>
      <w:pPr>
        <w:ind w:left="1012" w:hanging="1296"/>
        <w:tabs>
          <w:tab w:val="num" w:pos="1012" w:leader="none"/>
        </w:tabs>
      </w:pPr>
      <w:rPr>
        <w:rFonts w:hint="default"/>
      </w:rPr>
    </w:lvl>
    <w:lvl w:ilvl="7">
      <w:start w:val="1"/>
      <w:numFmt w:val="decimal"/>
      <w:isLgl w:val="false"/>
      <w:suff w:val="tab"/>
      <w:lvlText w:val="%1.%2.%3.%4.%5.%6.%7.%8"/>
      <w:lvlJc w:val="left"/>
      <w:pPr>
        <w:ind w:left="1156" w:hanging="1440"/>
        <w:tabs>
          <w:tab w:val="num" w:pos="1156" w:leader="none"/>
        </w:tabs>
      </w:pPr>
      <w:rPr>
        <w:rFonts w:hint="default"/>
      </w:rPr>
    </w:lvl>
    <w:lvl w:ilvl="8">
      <w:start w:val="1"/>
      <w:numFmt w:val="decimal"/>
      <w:isLgl w:val="false"/>
      <w:suff w:val="tab"/>
      <w:lvlText w:val="%1.%2.%3.%4.%5.%6.%7.%8.%9"/>
      <w:lvlJc w:val="left"/>
      <w:pPr>
        <w:ind w:left="1300" w:hanging="1584"/>
        <w:tabs>
          <w:tab w:val="num" w:pos="1300" w:leader="none"/>
        </w:tabs>
      </w:pPr>
      <w:rPr>
        <w:rFonts w:hint="default"/>
      </w:rPr>
    </w:lvl>
  </w:abstractNum>
  <w:abstractNum w:abstractNumId="86">
    <w:multiLevelType w:val="hybridMultilevel"/>
    <w:lvl w:ilvl="0">
      <w:start w:val="1"/>
      <w:numFmt w:val="none"/>
      <w:pStyle w:val="1326"/>
      <w:isLgl w:val="false"/>
      <w:suff w:val="tab"/>
      <w:lvlText w:val="%1Приложение"/>
      <w:lvlJc w:val="left"/>
      <w:pPr>
        <w:ind w:left="0" w:firstLine="0"/>
        <w:tabs>
          <w:tab w:val="num" w:pos="0" w:leader="none"/>
        </w:tabs>
      </w:pPr>
      <w:rPr>
        <w:rFonts w:hint="default"/>
      </w:r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87">
    <w:multiLevelType w:val="hybridMultilevel"/>
    <w:styleLink w:val="1680"/>
    <w:lvl w:ilvl="0">
      <w:start w:val="1"/>
      <w:numFmt w:val="decimal"/>
      <w:pStyle w:val="1680"/>
      <w:isLgl w:val="false"/>
      <w:suff w:val="tab"/>
      <w:lvlText w:val="%1."/>
      <w:lvlJc w:val="left"/>
      <w:pPr>
        <w:ind w:left="1003" w:hanging="283"/>
        <w:tabs>
          <w:tab w:val="num" w:pos="1003" w:leader="none"/>
        </w:tabs>
      </w:pPr>
      <w:rPr>
        <w:rFonts w:hint="default"/>
        <w:sz w:val="24"/>
      </w:rPr>
    </w:lvl>
    <w:lvl w:ilvl="1">
      <w:start w:val="1"/>
      <w:numFmt w:val="decimal"/>
      <w:isLgl w:val="false"/>
      <w:suff w:val="tab"/>
      <w:lvlText w:val="%1.%2."/>
      <w:lvlJc w:val="left"/>
      <w:pPr>
        <w:ind w:left="1418" w:hanging="426"/>
        <w:tabs>
          <w:tab w:val="num" w:pos="1418" w:leader="none"/>
        </w:tabs>
      </w:pPr>
      <w:rPr>
        <w:rFonts w:hint="default"/>
        <w:sz w:val="22"/>
      </w:rPr>
    </w:lvl>
    <w:lvl w:ilvl="2">
      <w:start w:val="1"/>
      <w:numFmt w:val="decimal"/>
      <w:isLgl w:val="false"/>
      <w:suff w:val="tab"/>
      <w:lvlText w:val="%1.%2.%3."/>
      <w:lvlJc w:val="left"/>
      <w:pPr>
        <w:ind w:left="2126" w:hanging="708"/>
        <w:tabs>
          <w:tab w:val="num" w:pos="2126" w:leader="none"/>
        </w:tabs>
      </w:pPr>
      <w:rPr>
        <w:rFonts w:hint="default"/>
      </w:rPr>
    </w:lvl>
    <w:lvl w:ilvl="3">
      <w:start w:val="1"/>
      <w:numFmt w:val="decimal"/>
      <w:isLgl w:val="false"/>
      <w:suff w:val="tab"/>
      <w:lvlText w:val="%1.%2.%3.%4."/>
      <w:lvlJc w:val="left"/>
      <w:pPr>
        <w:ind w:left="1843" w:hanging="284"/>
        <w:tabs>
          <w:tab w:val="num" w:pos="1843" w:leader="none"/>
        </w:tabs>
      </w:pPr>
      <w:rPr>
        <w:rFonts w:hint="default"/>
      </w:rPr>
    </w:lvl>
    <w:lvl w:ilvl="4">
      <w:start w:val="1"/>
      <w:numFmt w:val="decimal"/>
      <w:isLgl w:val="false"/>
      <w:suff w:val="tab"/>
      <w:lvlText w:val="%1.%2.%3.%4.%5"/>
      <w:lvlJc w:val="left"/>
      <w:pPr>
        <w:ind w:left="2459" w:hanging="1183"/>
        <w:tabs>
          <w:tab w:val="num" w:pos="2459" w:leader="none"/>
        </w:tabs>
      </w:pPr>
      <w:rPr>
        <w:rFonts w:hint="default"/>
      </w:rPr>
    </w:lvl>
    <w:lvl w:ilvl="5">
      <w:start w:val="1"/>
      <w:numFmt w:val="decimal"/>
      <w:isLgl w:val="false"/>
      <w:suff w:val="tab"/>
      <w:lvlText w:val="%1.%2.%3.%4.%5.%6"/>
      <w:lvlJc w:val="left"/>
      <w:pPr>
        <w:ind w:left="2603" w:hanging="1152"/>
        <w:tabs>
          <w:tab w:val="num" w:pos="2603" w:leader="none"/>
        </w:tabs>
      </w:pPr>
      <w:rPr>
        <w:rFonts w:hint="default"/>
      </w:rPr>
    </w:lvl>
    <w:lvl w:ilvl="6">
      <w:start w:val="1"/>
      <w:numFmt w:val="decimal"/>
      <w:isLgl w:val="false"/>
      <w:suff w:val="tab"/>
      <w:lvlText w:val="%1.%2.%3.%4.%5.%6.%7"/>
      <w:lvlJc w:val="left"/>
      <w:pPr>
        <w:ind w:left="2747" w:hanging="1296"/>
        <w:tabs>
          <w:tab w:val="num" w:pos="2747" w:leader="none"/>
        </w:tabs>
      </w:pPr>
      <w:rPr>
        <w:rFonts w:hint="default"/>
      </w:rPr>
    </w:lvl>
    <w:lvl w:ilvl="7">
      <w:start w:val="1"/>
      <w:numFmt w:val="decimal"/>
      <w:isLgl w:val="false"/>
      <w:suff w:val="tab"/>
      <w:lvlText w:val="%1.%2.%3.%4.%5.%6.%7.%8"/>
      <w:lvlJc w:val="left"/>
      <w:pPr>
        <w:ind w:left="2891" w:hanging="1440"/>
        <w:tabs>
          <w:tab w:val="num" w:pos="2891" w:leader="none"/>
        </w:tabs>
      </w:pPr>
      <w:rPr>
        <w:rFonts w:hint="default"/>
      </w:rPr>
    </w:lvl>
    <w:lvl w:ilvl="8">
      <w:start w:val="1"/>
      <w:numFmt w:val="decimal"/>
      <w:isLgl w:val="false"/>
      <w:suff w:val="tab"/>
      <w:lvlText w:val="%1.%2.%3.%4.%5.%6.%7.%8.%9"/>
      <w:lvlJc w:val="left"/>
      <w:pPr>
        <w:ind w:left="3035" w:hanging="1584"/>
        <w:tabs>
          <w:tab w:val="num" w:pos="3035" w:leader="none"/>
        </w:tabs>
      </w:pPr>
      <w:rPr>
        <w:rFonts w:hint="default"/>
      </w:rPr>
    </w:lvl>
  </w:abstractNum>
  <w:abstractNum w:abstractNumId="88">
    <w:multiLevelType w:val="hybridMultilevel"/>
    <w:lvl w:ilvl="0">
      <w:start w:val="1"/>
      <w:numFmt w:val="none"/>
      <w:pStyle w:val="1304"/>
      <w:isLgl w:val="false"/>
      <w:suff w:val="tab"/>
      <w:lvlText w:val="Таблица "/>
      <w:lvlJc w:val="left"/>
      <w:pPr>
        <w:ind w:left="0" w:firstLine="567"/>
        <w:tabs>
          <w:tab w:val="num" w:pos="567" w:leader="none"/>
        </w:tabs>
      </w:pPr>
      <w:rPr>
        <w:rFonts w:hint="default" w:ascii="Times New Roman" w:hAnsi="Times New Roman" w:cs="Times New Roman"/>
        <w:b/>
        <w:bCs w:val="0"/>
        <w:i w:val="0"/>
        <w:iCs w:val="0"/>
        <w:caps w:val="0"/>
        <w:smallCaps w:val="0"/>
        <w:strike w:val="0"/>
        <w:vanish w:val="0"/>
        <w:spacing w:val="0"/>
        <w:position w:val="0"/>
        <w:sz w:val="24"/>
        <w:u w:val="none"/>
        <w:vertAlign w:val="baseline"/>
      </w:r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89">
    <w:multiLevelType w:val="hybridMultilevel"/>
    <w:lvl w:ilvl="0">
      <w:start w:val="1"/>
      <w:numFmt w:val="bullet"/>
      <w:pStyle w:val="1733"/>
      <w:isLgl w:val="false"/>
      <w:suff w:val="tab"/>
      <w:lvlText w:val=""/>
      <w:lvlJc w:val="left"/>
      <w:pPr>
        <w:ind w:left="1701" w:hanging="397"/>
        <w:tabs>
          <w:tab w:val="num" w:pos="1701" w:leader="none"/>
        </w:tabs>
      </w:pPr>
      <w:rPr>
        <w:rFonts w:hint="default" w:ascii="Symbol" w:hAnsi="Symbol"/>
      </w:rPr>
    </w:lvl>
    <w:lvl w:ilvl="1">
      <w:start w:val="1"/>
      <w:numFmt w:val="bullet"/>
      <w:isLgl w:val="false"/>
      <w:suff w:val="tab"/>
      <w:lvlText w:val="o"/>
      <w:lvlJc w:val="left"/>
      <w:pPr>
        <w:ind w:left="1440" w:hanging="360"/>
        <w:tabs>
          <w:tab w:val="num" w:pos="1440" w:leader="none"/>
        </w:tabs>
      </w:pPr>
      <w:rPr>
        <w:rFonts w:hint="default" w:ascii="Courier New" w:hAnsi="Courier New"/>
      </w:rPr>
    </w:lvl>
    <w:lvl w:ilvl="2">
      <w:start w:val="1"/>
      <w:numFmt w:val="bullet"/>
      <w:isLgl w:val="false"/>
      <w:suff w:val="tab"/>
      <w:lvlText w:val=""/>
      <w:lvlJc w:val="left"/>
      <w:pPr>
        <w:ind w:left="2160" w:hanging="360"/>
        <w:tabs>
          <w:tab w:val="num" w:pos="2160" w:leader="none"/>
        </w:tabs>
      </w:pPr>
      <w:rPr>
        <w:rFonts w:hint="default" w:ascii="Wingdings" w:hAnsi="Wingdings"/>
      </w:rPr>
    </w:lvl>
    <w:lvl w:ilvl="3">
      <w:start w:val="1"/>
      <w:numFmt w:val="bullet"/>
      <w:isLgl w:val="false"/>
      <w:suff w:val="tab"/>
      <w:lvlText w:val=""/>
      <w:lvlJc w:val="left"/>
      <w:pPr>
        <w:ind w:left="2880" w:hanging="360"/>
        <w:tabs>
          <w:tab w:val="num" w:pos="2880" w:leader="none"/>
        </w:tabs>
      </w:pPr>
      <w:rPr>
        <w:rFonts w:hint="default" w:ascii="Symbol" w:hAnsi="Symbol"/>
      </w:rPr>
    </w:lvl>
    <w:lvl w:ilvl="4">
      <w:start w:val="1"/>
      <w:numFmt w:val="bullet"/>
      <w:isLgl w:val="false"/>
      <w:suff w:val="tab"/>
      <w:lvlText w:val="o"/>
      <w:lvlJc w:val="left"/>
      <w:pPr>
        <w:ind w:left="3600" w:hanging="360"/>
        <w:tabs>
          <w:tab w:val="num" w:pos="3600" w:leader="none"/>
        </w:tabs>
      </w:pPr>
      <w:rPr>
        <w:rFonts w:hint="default" w:ascii="Courier New" w:hAnsi="Courier New"/>
      </w:rPr>
    </w:lvl>
    <w:lvl w:ilvl="5">
      <w:start w:val="1"/>
      <w:numFmt w:val="bullet"/>
      <w:isLgl w:val="false"/>
      <w:suff w:val="tab"/>
      <w:lvlText w:val=""/>
      <w:lvlJc w:val="left"/>
      <w:pPr>
        <w:ind w:left="4320" w:hanging="360"/>
        <w:tabs>
          <w:tab w:val="num" w:pos="4320" w:leader="none"/>
        </w:tabs>
      </w:pPr>
      <w:rPr>
        <w:rFonts w:hint="default" w:ascii="Wingdings" w:hAnsi="Wingdings"/>
      </w:rPr>
    </w:lvl>
    <w:lvl w:ilvl="6">
      <w:start w:val="1"/>
      <w:numFmt w:val="bullet"/>
      <w:isLgl w:val="false"/>
      <w:suff w:val="tab"/>
      <w:lvlText w:val=""/>
      <w:lvlJc w:val="left"/>
      <w:pPr>
        <w:ind w:left="5040" w:hanging="360"/>
        <w:tabs>
          <w:tab w:val="num" w:pos="5040" w:leader="none"/>
        </w:tabs>
      </w:pPr>
      <w:rPr>
        <w:rFonts w:hint="default" w:ascii="Symbol" w:hAnsi="Symbol"/>
      </w:rPr>
    </w:lvl>
    <w:lvl w:ilvl="7">
      <w:start w:val="1"/>
      <w:numFmt w:val="bullet"/>
      <w:isLgl w:val="false"/>
      <w:suff w:val="tab"/>
      <w:lvlText w:val="o"/>
      <w:lvlJc w:val="left"/>
      <w:pPr>
        <w:ind w:left="5760" w:hanging="360"/>
        <w:tabs>
          <w:tab w:val="num" w:pos="5760" w:leader="none"/>
        </w:tabs>
      </w:pPr>
      <w:rPr>
        <w:rFonts w:hint="default" w:ascii="Courier New" w:hAnsi="Courier New"/>
      </w:rPr>
    </w:lvl>
    <w:lvl w:ilvl="8">
      <w:start w:val="1"/>
      <w:numFmt w:val="bullet"/>
      <w:isLgl w:val="false"/>
      <w:suff w:val="tab"/>
      <w:lvlText w:val=""/>
      <w:lvlJc w:val="left"/>
      <w:pPr>
        <w:ind w:left="6480" w:hanging="360"/>
        <w:tabs>
          <w:tab w:val="num" w:pos="6480" w:leader="none"/>
        </w:tabs>
      </w:pPr>
      <w:rPr>
        <w:rFonts w:hint="default" w:ascii="Wingdings" w:hAnsi="Wingdings"/>
      </w:rPr>
    </w:lvl>
  </w:abstractNum>
  <w:abstractNum w:abstractNumId="90">
    <w:multiLevelType w:val="hybridMultilevel"/>
    <w:lvl w:ilvl="0">
      <w:start w:val="1"/>
      <w:numFmt w:val="decimal"/>
      <w:pStyle w:val="1555"/>
      <w:isLgl w:val="false"/>
      <w:suff w:val="tab"/>
      <w:lvlText w:val="%1)"/>
      <w:lvlJc w:val="left"/>
      <w:pPr>
        <w:ind w:left="284" w:hanging="227"/>
        <w:tabs>
          <w:tab w:val="num" w:pos="284" w:leader="none"/>
        </w:tabs>
      </w:pPr>
      <w:rPr>
        <w:rFonts w:hint="default"/>
        <w:b w:val="0"/>
        <w:bCs w:val="0"/>
        <w:i w:val="0"/>
        <w:iCs w:val="0"/>
        <w:caps w:val="0"/>
        <w:smallCaps w:val="0"/>
        <w:strike w:val="0"/>
        <w:vanish w:val="0"/>
        <w:color w:val="000000"/>
        <w:spacing w:val="0"/>
        <w:position w:val="0"/>
        <w:u w:val="none"/>
        <w:vertAlign w:val="baseline"/>
      </w:rPr>
    </w:lvl>
    <w:lvl w:ilvl="1">
      <w:start w:val="1"/>
      <w:numFmt w:val="decimal"/>
      <w:isLgl w:val="false"/>
      <w:suff w:val="tab"/>
      <w:lvlText w:val="%1.%2."/>
      <w:lvlJc w:val="left"/>
      <w:pPr>
        <w:ind w:left="709" w:hanging="425"/>
        <w:tabs>
          <w:tab w:val="num" w:pos="567" w:leader="none"/>
        </w:tabs>
      </w:pPr>
      <w:rPr>
        <w:rFonts w:ascii="Times New Roman" w:hAnsi="Times New Roman" w:cs="Times New Roman"/>
        <w:b w:val="0"/>
        <w:bCs w:val="0"/>
        <w:i w:val="0"/>
        <w:iCs w:val="0"/>
        <w:caps w:val="0"/>
        <w:smallCaps w:val="0"/>
        <w:strike w:val="0"/>
        <w:vanish w:val="0"/>
        <w:color w:val="000000"/>
        <w:spacing w:val="0"/>
        <w:position w:val="0"/>
        <w:szCs w:val="0"/>
        <w:u w:val="none"/>
        <w:vertAlign w:val="baseline"/>
      </w:rPr>
    </w:lvl>
    <w:lvl w:ilvl="2">
      <w:start w:val="1"/>
      <w:numFmt w:val="decimal"/>
      <w:isLgl w:val="false"/>
      <w:suff w:val="tab"/>
      <w:lvlText w:val="%2.%1.%3."/>
      <w:lvlJc w:val="left"/>
      <w:pPr>
        <w:ind w:left="1276" w:hanging="567"/>
        <w:tabs>
          <w:tab w:val="num" w:pos="1134" w:leader="none"/>
        </w:tabs>
      </w:pPr>
      <w:rPr>
        <w:rFonts w:hint="default" w:ascii="Times New Roman" w:hAnsi="Times New Roman"/>
        <w:sz w:val="24"/>
        <w:szCs w:val="24"/>
      </w:rPr>
    </w:lvl>
    <w:lvl w:ilvl="3">
      <w:start w:val="1"/>
      <w:numFmt w:val="decimal"/>
      <w:isLgl w:val="false"/>
      <w:suff w:val="tab"/>
      <w:lvlText w:val="%1.%2.%3.%4."/>
      <w:lvlJc w:val="left"/>
      <w:pPr>
        <w:ind w:left="2295" w:hanging="648"/>
        <w:tabs>
          <w:tab w:val="num" w:pos="2367" w:leader="none"/>
        </w:tabs>
      </w:pPr>
      <w:rPr>
        <w:rFonts w:hint="default"/>
      </w:rPr>
    </w:lvl>
    <w:lvl w:ilvl="4">
      <w:start w:val="1"/>
      <w:numFmt w:val="decimal"/>
      <w:isLgl w:val="false"/>
      <w:suff w:val="tab"/>
      <w:lvlText w:val="%1.%2.%3.%4.%5."/>
      <w:lvlJc w:val="left"/>
      <w:pPr>
        <w:ind w:left="2799" w:hanging="792"/>
        <w:tabs>
          <w:tab w:val="num" w:pos="3087" w:leader="none"/>
        </w:tabs>
      </w:pPr>
      <w:rPr>
        <w:rFonts w:hint="default"/>
      </w:rPr>
    </w:lvl>
    <w:lvl w:ilvl="5">
      <w:start w:val="1"/>
      <w:numFmt w:val="decimal"/>
      <w:isLgl w:val="false"/>
      <w:suff w:val="tab"/>
      <w:lvlText w:val="%1.%2.%3.%4.%5.%6."/>
      <w:lvlJc w:val="left"/>
      <w:pPr>
        <w:ind w:left="3303" w:hanging="936"/>
        <w:tabs>
          <w:tab w:val="num" w:pos="3447" w:leader="none"/>
        </w:tabs>
      </w:pPr>
      <w:rPr>
        <w:rFonts w:hint="default"/>
      </w:rPr>
    </w:lvl>
    <w:lvl w:ilvl="6">
      <w:start w:val="1"/>
      <w:numFmt w:val="decimal"/>
      <w:isLgl w:val="false"/>
      <w:suff w:val="tab"/>
      <w:lvlText w:val="%1.%2.%3.%4.%5.%6.%7."/>
      <w:lvlJc w:val="left"/>
      <w:pPr>
        <w:ind w:left="3807" w:hanging="1080"/>
        <w:tabs>
          <w:tab w:val="num" w:pos="4167" w:leader="none"/>
        </w:tabs>
      </w:pPr>
      <w:rPr>
        <w:rFonts w:hint="default"/>
      </w:rPr>
    </w:lvl>
    <w:lvl w:ilvl="7">
      <w:start w:val="1"/>
      <w:numFmt w:val="decimal"/>
      <w:isLgl w:val="false"/>
      <w:suff w:val="tab"/>
      <w:lvlText w:val="%1.%2.%3.%4.%5.%6.%7.%8."/>
      <w:lvlJc w:val="left"/>
      <w:pPr>
        <w:ind w:left="4311" w:hanging="1224"/>
        <w:tabs>
          <w:tab w:val="num" w:pos="4527" w:leader="none"/>
        </w:tabs>
      </w:pPr>
      <w:rPr>
        <w:rFonts w:hint="default"/>
      </w:rPr>
    </w:lvl>
    <w:lvl w:ilvl="8">
      <w:start w:val="1"/>
      <w:numFmt w:val="decimal"/>
      <w:isLgl w:val="false"/>
      <w:suff w:val="tab"/>
      <w:lvlText w:val="%1.%2.%3.%4.%5.%6.%7.%8.%9."/>
      <w:lvlJc w:val="left"/>
      <w:pPr>
        <w:ind w:left="4887" w:hanging="1440"/>
        <w:tabs>
          <w:tab w:val="num" w:pos="5247" w:leader="none"/>
        </w:tabs>
      </w:pPr>
      <w:rPr>
        <w:rFonts w:hint="default"/>
      </w:rPr>
    </w:lvl>
  </w:abstractNum>
  <w:abstractNum w:abstractNumId="91">
    <w:multiLevelType w:val="hybridMultilevel"/>
    <w:lvl w:ilvl="0">
      <w:start w:val="1"/>
      <w:numFmt w:val="bullet"/>
      <w:pStyle w:val="1318"/>
      <w:isLgl w:val="false"/>
      <w:suff w:val="tab"/>
      <w:lvlText w:val=""/>
      <w:lvlJc w:val="left"/>
      <w:pPr>
        <w:ind w:left="340" w:hanging="227"/>
        <w:tabs>
          <w:tab w:val="num" w:pos="340" w:leader="none"/>
        </w:tabs>
      </w:pPr>
      <w:rPr>
        <w:rFonts w:hint="default" w:ascii="Symbol" w:hAnsi="Symbol"/>
      </w:r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92">
    <w:multiLevelType w:val="hybridMultilevel"/>
    <w:styleLink w:val="1867"/>
    <w:lvl w:ilvl="0">
      <w:start w:val="1"/>
      <w:numFmt w:val="decimal"/>
      <w:pStyle w:val="1867"/>
      <w:isLgl w:val="false"/>
      <w:suff w:val="tab"/>
      <w:lvlText w:val="A3.%1."/>
      <w:lvlJc w:val="left"/>
      <w:pPr>
        <w:ind w:left="615" w:hanging="360"/>
      </w:pPr>
      <w:rPr>
        <w:rFonts w:hint="default" w:ascii="Times New Roman" w:hAnsi="Times New Roman" w:cs="Times New Roman"/>
        <w:b w:val="0"/>
        <w:bCs w:val="0"/>
        <w:i w:val="0"/>
        <w:iCs w:val="0"/>
        <w:caps w:val="0"/>
        <w:smallCaps w:val="0"/>
        <w:strike w:val="0"/>
        <w:vanish w:val="0"/>
        <w:color w:val="000000"/>
        <w:spacing w:val="0"/>
        <w:position w:val="0"/>
        <w:sz w:val="24"/>
        <w:szCs w:val="24"/>
        <w:u w:val="none"/>
        <w:vertAlign w:val="baseline"/>
      </w:rPr>
    </w:lvl>
    <w:lvl w:ilvl="1">
      <w:start w:val="1"/>
      <w:numFmt w:val="lowerLetter"/>
      <w:isLgl w:val="false"/>
      <w:suff w:val="tab"/>
      <w:lvlText w:val="%2."/>
      <w:lvlJc w:val="left"/>
      <w:pPr>
        <w:ind w:left="1335" w:hanging="360"/>
      </w:pPr>
      <w:rPr>
        <w:rFonts w:hint="default" w:cs="Times New Roman"/>
      </w:rPr>
    </w:lvl>
    <w:lvl w:ilvl="2">
      <w:start w:val="1"/>
      <w:numFmt w:val="lowerRoman"/>
      <w:isLgl w:val="false"/>
      <w:suff w:val="tab"/>
      <w:lvlText w:val="%3."/>
      <w:lvlJc w:val="right"/>
      <w:pPr>
        <w:ind w:left="2055" w:hanging="180"/>
      </w:pPr>
      <w:rPr>
        <w:rFonts w:hint="default" w:cs="Times New Roman"/>
      </w:rPr>
    </w:lvl>
    <w:lvl w:ilvl="3">
      <w:start w:val="1"/>
      <w:numFmt w:val="decimal"/>
      <w:isLgl w:val="false"/>
      <w:suff w:val="tab"/>
      <w:lvlText w:val="%4."/>
      <w:lvlJc w:val="left"/>
      <w:pPr>
        <w:ind w:left="2775" w:hanging="360"/>
      </w:pPr>
      <w:rPr>
        <w:rFonts w:hint="default" w:cs="Times New Roman"/>
      </w:rPr>
    </w:lvl>
    <w:lvl w:ilvl="4">
      <w:start w:val="1"/>
      <w:numFmt w:val="lowerLetter"/>
      <w:isLgl w:val="false"/>
      <w:suff w:val="tab"/>
      <w:lvlText w:val="%5."/>
      <w:lvlJc w:val="left"/>
      <w:pPr>
        <w:ind w:left="3495" w:hanging="360"/>
      </w:pPr>
      <w:rPr>
        <w:rFonts w:hint="default" w:cs="Times New Roman"/>
      </w:rPr>
    </w:lvl>
    <w:lvl w:ilvl="5">
      <w:start w:val="1"/>
      <w:numFmt w:val="lowerRoman"/>
      <w:isLgl w:val="false"/>
      <w:suff w:val="tab"/>
      <w:lvlText w:val="%6."/>
      <w:lvlJc w:val="right"/>
      <w:pPr>
        <w:ind w:left="4215" w:hanging="180"/>
      </w:pPr>
      <w:rPr>
        <w:rFonts w:hint="default" w:cs="Times New Roman"/>
      </w:rPr>
    </w:lvl>
    <w:lvl w:ilvl="6">
      <w:start w:val="1"/>
      <w:numFmt w:val="decimal"/>
      <w:isLgl w:val="false"/>
      <w:suff w:val="tab"/>
      <w:lvlText w:val="%7."/>
      <w:lvlJc w:val="left"/>
      <w:pPr>
        <w:ind w:left="4935" w:hanging="360"/>
      </w:pPr>
      <w:rPr>
        <w:rFonts w:hint="default" w:cs="Times New Roman"/>
      </w:rPr>
    </w:lvl>
    <w:lvl w:ilvl="7">
      <w:start w:val="1"/>
      <w:numFmt w:val="lowerLetter"/>
      <w:isLgl w:val="false"/>
      <w:suff w:val="tab"/>
      <w:lvlText w:val="%8."/>
      <w:lvlJc w:val="left"/>
      <w:pPr>
        <w:ind w:left="5655" w:hanging="360"/>
      </w:pPr>
      <w:rPr>
        <w:rFonts w:hint="default" w:cs="Times New Roman"/>
      </w:rPr>
    </w:lvl>
    <w:lvl w:ilvl="8">
      <w:start w:val="1"/>
      <w:numFmt w:val="lowerRoman"/>
      <w:isLgl w:val="false"/>
      <w:suff w:val="tab"/>
      <w:lvlText w:val="%9."/>
      <w:lvlJc w:val="right"/>
      <w:pPr>
        <w:ind w:left="6375" w:hanging="180"/>
      </w:pPr>
      <w:rPr>
        <w:rFonts w:hint="default" w:cs="Times New Roman"/>
      </w:rPr>
    </w:lvl>
  </w:abstractNum>
  <w:abstractNum w:abstractNumId="93">
    <w:multiLevelType w:val="hybridMultilevel"/>
    <w:lvl w:ilvl="0">
      <w:start w:val="1"/>
      <w:numFmt w:val="decimal"/>
      <w:pStyle w:val="2045"/>
      <w:isLgl w:val="false"/>
      <w:suff w:val="tab"/>
      <w:lvlText w:val="E1.%1."/>
      <w:lvlJc w:val="left"/>
      <w:pPr>
        <w:ind w:left="417" w:hanging="360"/>
      </w:pPr>
      <w:rPr>
        <w:rFonts w:hint="default" w:cs="Times New Roman"/>
        <w:b w:val="0"/>
        <w:bCs w:val="0"/>
        <w:i w:val="0"/>
        <w:iCs w:val="0"/>
        <w:caps w:val="0"/>
        <w:smallCaps w:val="0"/>
        <w:strike w:val="0"/>
        <w:vanish w:val="0"/>
        <w:color w:val="000000"/>
        <w:spacing w:val="0"/>
        <w:position w:val="0"/>
        <w:sz w:val="24"/>
        <w:szCs w:val="24"/>
        <w:u w:val="none"/>
        <w:vertAlign w:val="baseline"/>
      </w:rPr>
    </w:lvl>
    <w:lvl w:ilvl="1">
      <w:start w:val="1"/>
      <w:numFmt w:val="lowerLetter"/>
      <w:isLgl w:val="false"/>
      <w:suff w:val="tab"/>
      <w:lvlText w:val="%2."/>
      <w:lvlJc w:val="left"/>
      <w:pPr>
        <w:ind w:left="1440" w:hanging="360"/>
      </w:pPr>
      <w:rPr>
        <w:rFonts w:cs="Times New Roman"/>
      </w:rPr>
    </w:lvl>
    <w:lvl w:ilvl="2">
      <w:start w:val="1"/>
      <w:numFmt w:val="lowerRoman"/>
      <w:isLgl w:val="false"/>
      <w:suff w:val="tab"/>
      <w:lvlText w:val="%3."/>
      <w:lvlJc w:val="right"/>
      <w:pPr>
        <w:ind w:left="2160" w:hanging="180"/>
      </w:pPr>
      <w:rPr>
        <w:rFonts w:cs="Times New Roman"/>
      </w:rPr>
    </w:lvl>
    <w:lvl w:ilvl="3">
      <w:start w:val="1"/>
      <w:numFmt w:val="decimal"/>
      <w:isLgl w:val="false"/>
      <w:suff w:val="tab"/>
      <w:lvlText w:val="%4."/>
      <w:lvlJc w:val="left"/>
      <w:pPr>
        <w:ind w:left="2880" w:hanging="360"/>
      </w:pPr>
      <w:rPr>
        <w:rFonts w:cs="Times New Roman"/>
      </w:rPr>
    </w:lvl>
    <w:lvl w:ilvl="4">
      <w:start w:val="1"/>
      <w:numFmt w:val="lowerLetter"/>
      <w:isLgl w:val="false"/>
      <w:suff w:val="tab"/>
      <w:lvlText w:val="%5."/>
      <w:lvlJc w:val="left"/>
      <w:pPr>
        <w:ind w:left="3600" w:hanging="360"/>
      </w:pPr>
      <w:rPr>
        <w:rFonts w:cs="Times New Roman"/>
      </w:rPr>
    </w:lvl>
    <w:lvl w:ilvl="5">
      <w:start w:val="1"/>
      <w:numFmt w:val="lowerRoman"/>
      <w:isLgl w:val="false"/>
      <w:suff w:val="tab"/>
      <w:lvlText w:val="%6."/>
      <w:lvlJc w:val="right"/>
      <w:pPr>
        <w:ind w:left="4320" w:hanging="180"/>
      </w:pPr>
      <w:rPr>
        <w:rFonts w:cs="Times New Roman"/>
      </w:rPr>
    </w:lvl>
    <w:lvl w:ilvl="6">
      <w:start w:val="1"/>
      <w:numFmt w:val="decimal"/>
      <w:isLgl w:val="false"/>
      <w:suff w:val="tab"/>
      <w:lvlText w:val="%7."/>
      <w:lvlJc w:val="left"/>
      <w:pPr>
        <w:ind w:left="5040" w:hanging="360"/>
      </w:pPr>
      <w:rPr>
        <w:rFonts w:cs="Times New Roman"/>
      </w:rPr>
    </w:lvl>
    <w:lvl w:ilvl="7">
      <w:start w:val="1"/>
      <w:numFmt w:val="lowerLetter"/>
      <w:isLgl w:val="false"/>
      <w:suff w:val="tab"/>
      <w:lvlText w:val="%8."/>
      <w:lvlJc w:val="left"/>
      <w:pPr>
        <w:ind w:left="5760" w:hanging="360"/>
      </w:pPr>
      <w:rPr>
        <w:rFonts w:cs="Times New Roman"/>
      </w:rPr>
    </w:lvl>
    <w:lvl w:ilvl="8">
      <w:start w:val="1"/>
      <w:numFmt w:val="lowerRoman"/>
      <w:isLgl w:val="false"/>
      <w:suff w:val="tab"/>
      <w:lvlText w:val="%9."/>
      <w:lvlJc w:val="right"/>
      <w:pPr>
        <w:ind w:left="6480" w:hanging="180"/>
      </w:pPr>
      <w:rPr>
        <w:rFonts w:cs="Times New Roman"/>
      </w:rPr>
    </w:lvl>
  </w:abstractNum>
  <w:abstractNum w:abstractNumId="94">
    <w:multiLevelType w:val="hybridMultilevel"/>
    <w:lvl w:ilvl="0">
      <w:start w:val="1"/>
      <w:numFmt w:val="decimal"/>
      <w:pStyle w:val="1689"/>
      <w:isLgl w:val="false"/>
      <w:suff w:val="nothing"/>
      <w:lvlText w:val="%1"/>
      <w:lvlJc w:val="left"/>
      <w:pPr/>
      <w:rPr>
        <w:rFonts w:ascii="Times New Roman" w:hAnsi="Times New Roman" w:cs="Times New Roman"/>
        <w:b w:val="0"/>
        <w:bCs w:val="0"/>
        <w:i w:val="0"/>
        <w:iCs w:val="0"/>
        <w:caps w:val="0"/>
        <w:smallCaps w:val="0"/>
        <w:strike w:val="0"/>
        <w:vanish w:val="0"/>
        <w:color w:val="000000"/>
        <w:spacing w:val="0"/>
        <w:position w:val="0"/>
        <w:u w:val="none"/>
        <w:vertAlign w:val="baseline"/>
      </w:rPr>
    </w:lvl>
    <w:lvl w:ilvl="1">
      <w:start w:val="1"/>
      <w:numFmt w:val="lowerLetter"/>
      <w:isLgl w:val="false"/>
      <w:suff w:val="tab"/>
      <w:lvlText w:val="%2."/>
      <w:lvlJc w:val="left"/>
      <w:pPr>
        <w:ind w:left="1440" w:hanging="360"/>
      </w:pPr>
      <w:rPr>
        <w:rFonts w:cs="Times New Roman"/>
      </w:rPr>
    </w:lvl>
    <w:lvl w:ilvl="2">
      <w:start w:val="1"/>
      <w:numFmt w:val="lowerRoman"/>
      <w:isLgl w:val="false"/>
      <w:suff w:val="tab"/>
      <w:lvlText w:val="%3."/>
      <w:lvlJc w:val="right"/>
      <w:pPr>
        <w:ind w:left="2160" w:hanging="180"/>
      </w:pPr>
      <w:rPr>
        <w:rFonts w:cs="Times New Roman"/>
      </w:rPr>
    </w:lvl>
    <w:lvl w:ilvl="3">
      <w:start w:val="1"/>
      <w:numFmt w:val="decimal"/>
      <w:isLgl w:val="false"/>
      <w:suff w:val="tab"/>
      <w:lvlText w:val="%4."/>
      <w:lvlJc w:val="left"/>
      <w:pPr>
        <w:ind w:left="2880" w:hanging="360"/>
      </w:pPr>
      <w:rPr>
        <w:rFonts w:cs="Times New Roman"/>
      </w:rPr>
    </w:lvl>
    <w:lvl w:ilvl="4">
      <w:start w:val="1"/>
      <w:numFmt w:val="lowerLetter"/>
      <w:isLgl w:val="false"/>
      <w:suff w:val="tab"/>
      <w:lvlText w:val="%5."/>
      <w:lvlJc w:val="left"/>
      <w:pPr>
        <w:ind w:left="3600" w:hanging="360"/>
      </w:pPr>
      <w:rPr>
        <w:rFonts w:cs="Times New Roman"/>
      </w:rPr>
    </w:lvl>
    <w:lvl w:ilvl="5">
      <w:start w:val="1"/>
      <w:numFmt w:val="lowerRoman"/>
      <w:isLgl w:val="false"/>
      <w:suff w:val="tab"/>
      <w:lvlText w:val="%6."/>
      <w:lvlJc w:val="right"/>
      <w:pPr>
        <w:ind w:left="4320" w:hanging="180"/>
      </w:pPr>
      <w:rPr>
        <w:rFonts w:cs="Times New Roman"/>
      </w:rPr>
    </w:lvl>
    <w:lvl w:ilvl="6">
      <w:start w:val="1"/>
      <w:numFmt w:val="decimal"/>
      <w:isLgl w:val="false"/>
      <w:suff w:val="tab"/>
      <w:lvlText w:val="%7."/>
      <w:lvlJc w:val="left"/>
      <w:pPr>
        <w:ind w:left="5040" w:hanging="360"/>
      </w:pPr>
      <w:rPr>
        <w:rFonts w:cs="Times New Roman"/>
      </w:rPr>
    </w:lvl>
    <w:lvl w:ilvl="7">
      <w:start w:val="1"/>
      <w:numFmt w:val="lowerLetter"/>
      <w:isLgl w:val="false"/>
      <w:suff w:val="tab"/>
      <w:lvlText w:val="%8."/>
      <w:lvlJc w:val="left"/>
      <w:pPr>
        <w:ind w:left="5760" w:hanging="360"/>
      </w:pPr>
      <w:rPr>
        <w:rFonts w:cs="Times New Roman"/>
      </w:rPr>
    </w:lvl>
    <w:lvl w:ilvl="8">
      <w:start w:val="1"/>
      <w:numFmt w:val="lowerRoman"/>
      <w:isLgl w:val="false"/>
      <w:suff w:val="tab"/>
      <w:lvlText w:val="%9."/>
      <w:lvlJc w:val="right"/>
      <w:pPr>
        <w:ind w:left="6480" w:hanging="180"/>
      </w:pPr>
      <w:rPr>
        <w:rFonts w:cs="Times New Roman"/>
      </w:rPr>
    </w:lvl>
  </w:abstractNum>
  <w:abstractNum w:abstractNumId="95">
    <w:multiLevelType w:val="hybridMultilevel"/>
    <w:lvl w:ilvl="0">
      <w:start w:val="1"/>
      <w:numFmt w:val="decimal"/>
      <w:pStyle w:val="2052"/>
      <w:isLgl w:val="false"/>
      <w:suff w:val="tab"/>
      <w:lvlText w:val="E8.%1."/>
      <w:lvlJc w:val="left"/>
      <w:pPr>
        <w:ind w:left="417" w:hanging="360"/>
      </w:pPr>
      <w:rPr>
        <w:rFonts w:hint="default" w:ascii="Times New Roman" w:hAnsi="Times New Roman" w:cs="Times New Roman"/>
        <w:b w:val="0"/>
        <w:bCs w:val="0"/>
        <w:i w:val="0"/>
        <w:iCs w:val="0"/>
        <w:caps w:val="0"/>
        <w:smallCaps w:val="0"/>
        <w:strike w:val="0"/>
        <w:vanish w:val="0"/>
        <w:color w:val="000000"/>
        <w:spacing w:val="0"/>
        <w:position w:val="0"/>
        <w:u w:val="none"/>
        <w:vertAlign w:val="baseline"/>
      </w:rPr>
    </w:lvl>
    <w:lvl w:ilvl="1">
      <w:start w:val="1"/>
      <w:numFmt w:val="lowerLetter"/>
      <w:isLgl w:val="false"/>
      <w:suff w:val="tab"/>
      <w:lvlText w:val="%2."/>
      <w:lvlJc w:val="left"/>
      <w:pPr>
        <w:ind w:left="1497" w:hanging="360"/>
      </w:pPr>
      <w:rPr>
        <w:rFonts w:cs="Times New Roman"/>
      </w:rPr>
    </w:lvl>
    <w:lvl w:ilvl="2">
      <w:start w:val="1"/>
      <w:numFmt w:val="lowerRoman"/>
      <w:isLgl w:val="false"/>
      <w:suff w:val="tab"/>
      <w:lvlText w:val="%3."/>
      <w:lvlJc w:val="right"/>
      <w:pPr>
        <w:ind w:left="2217" w:hanging="180"/>
      </w:pPr>
      <w:rPr>
        <w:rFonts w:cs="Times New Roman"/>
      </w:rPr>
    </w:lvl>
    <w:lvl w:ilvl="3">
      <w:start w:val="1"/>
      <w:numFmt w:val="decimal"/>
      <w:isLgl w:val="false"/>
      <w:suff w:val="tab"/>
      <w:lvlText w:val="%4."/>
      <w:lvlJc w:val="left"/>
      <w:pPr>
        <w:ind w:left="2937" w:hanging="360"/>
      </w:pPr>
      <w:rPr>
        <w:rFonts w:cs="Times New Roman"/>
      </w:rPr>
    </w:lvl>
    <w:lvl w:ilvl="4">
      <w:start w:val="1"/>
      <w:numFmt w:val="lowerLetter"/>
      <w:isLgl w:val="false"/>
      <w:suff w:val="tab"/>
      <w:lvlText w:val="%5."/>
      <w:lvlJc w:val="left"/>
      <w:pPr>
        <w:ind w:left="3657" w:hanging="360"/>
      </w:pPr>
      <w:rPr>
        <w:rFonts w:cs="Times New Roman"/>
      </w:rPr>
    </w:lvl>
    <w:lvl w:ilvl="5">
      <w:start w:val="1"/>
      <w:numFmt w:val="lowerRoman"/>
      <w:isLgl w:val="false"/>
      <w:suff w:val="tab"/>
      <w:lvlText w:val="%6."/>
      <w:lvlJc w:val="right"/>
      <w:pPr>
        <w:ind w:left="4377" w:hanging="180"/>
      </w:pPr>
      <w:rPr>
        <w:rFonts w:cs="Times New Roman"/>
      </w:rPr>
    </w:lvl>
    <w:lvl w:ilvl="6">
      <w:start w:val="1"/>
      <w:numFmt w:val="decimal"/>
      <w:isLgl w:val="false"/>
      <w:suff w:val="tab"/>
      <w:lvlText w:val="%7."/>
      <w:lvlJc w:val="left"/>
      <w:pPr>
        <w:ind w:left="5097" w:hanging="360"/>
      </w:pPr>
      <w:rPr>
        <w:rFonts w:cs="Times New Roman"/>
      </w:rPr>
    </w:lvl>
    <w:lvl w:ilvl="7">
      <w:start w:val="1"/>
      <w:numFmt w:val="lowerLetter"/>
      <w:isLgl w:val="false"/>
      <w:suff w:val="tab"/>
      <w:lvlText w:val="%8."/>
      <w:lvlJc w:val="left"/>
      <w:pPr>
        <w:ind w:left="5817" w:hanging="360"/>
      </w:pPr>
      <w:rPr>
        <w:rFonts w:cs="Times New Roman"/>
      </w:rPr>
    </w:lvl>
    <w:lvl w:ilvl="8">
      <w:start w:val="1"/>
      <w:numFmt w:val="lowerRoman"/>
      <w:isLgl w:val="false"/>
      <w:suff w:val="tab"/>
      <w:lvlText w:val="%9."/>
      <w:lvlJc w:val="right"/>
      <w:pPr>
        <w:ind w:left="6537" w:hanging="180"/>
      </w:pPr>
      <w:rPr>
        <w:rFonts w:cs="Times New Roman"/>
      </w:rPr>
    </w:lvl>
  </w:abstractNum>
  <w:abstractNum w:abstractNumId="96">
    <w:multiLevelType w:val="hybridMultilevel"/>
    <w:lvl w:ilvl="0">
      <w:start w:val="1"/>
      <w:numFmt w:val="decimal"/>
      <w:pStyle w:val="1921"/>
      <w:isLgl w:val="false"/>
      <w:suff w:val="space"/>
      <w:lvlText w:val="%1)"/>
      <w:lvlJc w:val="left"/>
      <w:pPr>
        <w:ind w:left="0" w:firstLine="709"/>
      </w:pPr>
      <w:rPr>
        <w:rFonts w:hint="default"/>
      </w:rPr>
    </w:lvl>
    <w:lvl w:ilvl="1">
      <w:start w:val="1"/>
      <w:numFmt w:val="lowerLetter"/>
      <w:isLgl w:val="false"/>
      <w:suff w:val="tab"/>
      <w:lvlText w:val="%2."/>
      <w:lvlJc w:val="left"/>
      <w:pPr>
        <w:ind w:left="2149" w:hanging="360"/>
      </w:pPr>
    </w:lvl>
    <w:lvl w:ilvl="2">
      <w:start w:val="1"/>
      <w:numFmt w:val="lowerRoman"/>
      <w:isLgl w:val="false"/>
      <w:suff w:val="tab"/>
      <w:lvlText w:val="%3."/>
      <w:lvlJc w:val="right"/>
      <w:pPr>
        <w:ind w:left="2869" w:hanging="180"/>
      </w:pPr>
    </w:lvl>
    <w:lvl w:ilvl="3">
      <w:start w:val="1"/>
      <w:numFmt w:val="decimal"/>
      <w:isLgl w:val="false"/>
      <w:suff w:val="tab"/>
      <w:lvlText w:val="%4."/>
      <w:lvlJc w:val="left"/>
      <w:pPr>
        <w:ind w:left="3589" w:hanging="360"/>
      </w:pPr>
    </w:lvl>
    <w:lvl w:ilvl="4">
      <w:start w:val="1"/>
      <w:numFmt w:val="lowerLetter"/>
      <w:isLgl w:val="false"/>
      <w:suff w:val="tab"/>
      <w:lvlText w:val="%5."/>
      <w:lvlJc w:val="left"/>
      <w:pPr>
        <w:ind w:left="4309" w:hanging="360"/>
      </w:pPr>
    </w:lvl>
    <w:lvl w:ilvl="5">
      <w:start w:val="1"/>
      <w:numFmt w:val="lowerRoman"/>
      <w:isLgl w:val="false"/>
      <w:suff w:val="tab"/>
      <w:lvlText w:val="%6."/>
      <w:lvlJc w:val="right"/>
      <w:pPr>
        <w:ind w:left="5029" w:hanging="180"/>
      </w:pPr>
    </w:lvl>
    <w:lvl w:ilvl="6">
      <w:start w:val="1"/>
      <w:numFmt w:val="decimal"/>
      <w:isLgl w:val="false"/>
      <w:suff w:val="tab"/>
      <w:lvlText w:val="%7."/>
      <w:lvlJc w:val="left"/>
      <w:pPr>
        <w:ind w:left="5749" w:hanging="360"/>
      </w:pPr>
    </w:lvl>
    <w:lvl w:ilvl="7">
      <w:start w:val="1"/>
      <w:numFmt w:val="lowerLetter"/>
      <w:isLgl w:val="false"/>
      <w:suff w:val="tab"/>
      <w:lvlText w:val="%8."/>
      <w:lvlJc w:val="left"/>
      <w:pPr>
        <w:ind w:left="6469" w:hanging="360"/>
      </w:pPr>
    </w:lvl>
    <w:lvl w:ilvl="8">
      <w:start w:val="1"/>
      <w:numFmt w:val="lowerRoman"/>
      <w:isLgl w:val="false"/>
      <w:suff w:val="tab"/>
      <w:lvlText w:val="%9."/>
      <w:lvlJc w:val="right"/>
      <w:pPr>
        <w:ind w:left="7189" w:hanging="180"/>
      </w:pPr>
    </w:lvl>
  </w:abstractNum>
  <w:abstractNum w:abstractNumId="97">
    <w:multiLevelType w:val="hybridMultilevel"/>
    <w:lvl w:ilvl="0">
      <w:start w:val="1"/>
      <w:numFmt w:val="decimal"/>
      <w:pStyle w:val="2051"/>
      <w:isLgl w:val="false"/>
      <w:suff w:val="tab"/>
      <w:lvlText w:val="E7.%1."/>
      <w:lvlJc w:val="left"/>
      <w:pPr>
        <w:ind w:left="417" w:hanging="360"/>
      </w:pPr>
      <w:rPr>
        <w:rFonts w:hint="default" w:ascii="Times New Roman" w:hAnsi="Times New Roman" w:cs="Times New Roman"/>
        <w:b w:val="0"/>
        <w:bCs w:val="0"/>
        <w:i w:val="0"/>
        <w:iCs w:val="0"/>
        <w:caps w:val="0"/>
        <w:smallCaps w:val="0"/>
        <w:strike w:val="0"/>
        <w:vanish w:val="0"/>
        <w:color w:val="000000"/>
        <w:spacing w:val="0"/>
        <w:position w:val="0"/>
        <w:sz w:val="24"/>
        <w:szCs w:val="24"/>
        <w:u w:val="none"/>
        <w:vertAlign w:val="baseline"/>
      </w:rPr>
    </w:lvl>
    <w:lvl w:ilvl="1">
      <w:start w:val="1"/>
      <w:numFmt w:val="lowerLetter"/>
      <w:isLgl w:val="false"/>
      <w:suff w:val="tab"/>
      <w:lvlText w:val="%2."/>
      <w:lvlJc w:val="left"/>
      <w:pPr>
        <w:ind w:left="1440" w:hanging="360"/>
      </w:pPr>
      <w:rPr>
        <w:rFonts w:cs="Times New Roman"/>
      </w:rPr>
    </w:lvl>
    <w:lvl w:ilvl="2">
      <w:start w:val="1"/>
      <w:numFmt w:val="lowerRoman"/>
      <w:isLgl w:val="false"/>
      <w:suff w:val="tab"/>
      <w:lvlText w:val="%3."/>
      <w:lvlJc w:val="right"/>
      <w:pPr>
        <w:ind w:left="2160" w:hanging="180"/>
      </w:pPr>
      <w:rPr>
        <w:rFonts w:cs="Times New Roman"/>
      </w:rPr>
    </w:lvl>
    <w:lvl w:ilvl="3">
      <w:start w:val="1"/>
      <w:numFmt w:val="decimal"/>
      <w:isLgl w:val="false"/>
      <w:suff w:val="tab"/>
      <w:lvlText w:val="%4."/>
      <w:lvlJc w:val="left"/>
      <w:pPr>
        <w:ind w:left="2880" w:hanging="360"/>
      </w:pPr>
      <w:rPr>
        <w:rFonts w:cs="Times New Roman"/>
      </w:rPr>
    </w:lvl>
    <w:lvl w:ilvl="4">
      <w:start w:val="1"/>
      <w:numFmt w:val="lowerLetter"/>
      <w:isLgl w:val="false"/>
      <w:suff w:val="tab"/>
      <w:lvlText w:val="%5."/>
      <w:lvlJc w:val="left"/>
      <w:pPr>
        <w:ind w:left="3600" w:hanging="360"/>
      </w:pPr>
      <w:rPr>
        <w:rFonts w:cs="Times New Roman"/>
      </w:rPr>
    </w:lvl>
    <w:lvl w:ilvl="5">
      <w:start w:val="1"/>
      <w:numFmt w:val="lowerRoman"/>
      <w:isLgl w:val="false"/>
      <w:suff w:val="tab"/>
      <w:lvlText w:val="%6."/>
      <w:lvlJc w:val="right"/>
      <w:pPr>
        <w:ind w:left="4320" w:hanging="180"/>
      </w:pPr>
      <w:rPr>
        <w:rFonts w:cs="Times New Roman"/>
      </w:rPr>
    </w:lvl>
    <w:lvl w:ilvl="6">
      <w:start w:val="1"/>
      <w:numFmt w:val="decimal"/>
      <w:isLgl w:val="false"/>
      <w:suff w:val="tab"/>
      <w:lvlText w:val="%7."/>
      <w:lvlJc w:val="left"/>
      <w:pPr>
        <w:ind w:left="5040" w:hanging="360"/>
      </w:pPr>
      <w:rPr>
        <w:rFonts w:cs="Times New Roman"/>
      </w:rPr>
    </w:lvl>
    <w:lvl w:ilvl="7">
      <w:start w:val="1"/>
      <w:numFmt w:val="lowerLetter"/>
      <w:isLgl w:val="false"/>
      <w:suff w:val="tab"/>
      <w:lvlText w:val="%8."/>
      <w:lvlJc w:val="left"/>
      <w:pPr>
        <w:ind w:left="5760" w:hanging="360"/>
      </w:pPr>
      <w:rPr>
        <w:rFonts w:cs="Times New Roman"/>
      </w:rPr>
    </w:lvl>
    <w:lvl w:ilvl="8">
      <w:start w:val="1"/>
      <w:numFmt w:val="lowerRoman"/>
      <w:isLgl w:val="false"/>
      <w:suff w:val="tab"/>
      <w:lvlText w:val="%9."/>
      <w:lvlJc w:val="right"/>
      <w:pPr>
        <w:ind w:left="6480" w:hanging="180"/>
      </w:pPr>
      <w:rPr>
        <w:rFonts w:cs="Times New Roman"/>
      </w:rPr>
    </w:lvl>
  </w:abstractNum>
  <w:abstractNum w:abstractNumId="98">
    <w:multiLevelType w:val="hybridMultilevel"/>
    <w:lvl w:ilvl="0">
      <w:start w:val="1"/>
      <w:numFmt w:val="decimal"/>
      <w:isLgl w:val="false"/>
      <w:suff w:val="tab"/>
      <w:lvlText w:val="%1)"/>
      <w:lvlJc w:val="left"/>
      <w:pPr>
        <w:ind w:left="360" w:hanging="360"/>
      </w:pPr>
    </w:lvl>
    <w:lvl w:ilvl="1">
      <w:start w:val="1"/>
      <w:numFmt w:val="lowerLetter"/>
      <w:isLgl w:val="false"/>
      <w:suff w:val="tab"/>
      <w:lvlText w:val="%2)"/>
      <w:lvlJc w:val="left"/>
      <w:pPr>
        <w:ind w:left="720" w:hanging="360"/>
      </w:pPr>
    </w:lvl>
    <w:lvl w:ilvl="2">
      <w:start w:val="1"/>
      <w:numFmt w:val="lowerRoman"/>
      <w:isLgl w:val="false"/>
      <w:suff w:val="tab"/>
      <w:lvlText w:val="%3)"/>
      <w:lvlJc w:val="left"/>
      <w:pPr>
        <w:ind w:left="1080" w:hanging="360"/>
      </w:pPr>
    </w:lvl>
    <w:lvl w:ilvl="3">
      <w:start w:val="1"/>
      <w:numFmt w:val="decimal"/>
      <w:isLgl w:val="false"/>
      <w:suff w:val="tab"/>
      <w:lvlText w:val="(%4)"/>
      <w:lvlJc w:val="left"/>
      <w:pPr>
        <w:ind w:left="1440" w:hanging="360"/>
      </w:pPr>
    </w:lvl>
    <w:lvl w:ilvl="4">
      <w:start w:val="1"/>
      <w:numFmt w:val="lowerLetter"/>
      <w:isLgl w:val="false"/>
      <w:suff w:val="tab"/>
      <w:lvlText w:val="(%5)"/>
      <w:lvlJc w:val="left"/>
      <w:pPr>
        <w:ind w:left="1800" w:hanging="360"/>
      </w:pPr>
    </w:lvl>
    <w:lvl w:ilvl="5">
      <w:start w:val="1"/>
      <w:numFmt w:val="lowerRoman"/>
      <w:isLgl w:val="false"/>
      <w:suff w:val="tab"/>
      <w:lvlText w:val="(%6)"/>
      <w:lvlJc w:val="left"/>
      <w:pPr>
        <w:ind w:left="2160" w:hanging="360"/>
      </w:pPr>
    </w:lvl>
    <w:lvl w:ilvl="6">
      <w:start w:val="1"/>
      <w:numFmt w:val="decimal"/>
      <w:isLgl w:val="false"/>
      <w:suff w:val="tab"/>
      <w:lvlText w:val="%7."/>
      <w:lvlJc w:val="left"/>
      <w:pPr>
        <w:ind w:left="2520" w:hanging="360"/>
      </w:pPr>
    </w:lvl>
    <w:lvl w:ilvl="7">
      <w:start w:val="1"/>
      <w:numFmt w:val="lowerLetter"/>
      <w:isLgl w:val="false"/>
      <w:suff w:val="tab"/>
      <w:lvlText w:val="%8."/>
      <w:lvlJc w:val="left"/>
      <w:pPr>
        <w:ind w:left="2880" w:hanging="360"/>
      </w:pPr>
    </w:lvl>
    <w:lvl w:ilvl="8">
      <w:start w:val="1"/>
      <w:numFmt w:val="lowerRoman"/>
      <w:isLgl w:val="false"/>
      <w:suff w:val="tab"/>
      <w:lvlText w:val="%9."/>
      <w:lvlJc w:val="left"/>
      <w:pPr>
        <w:ind w:left="3240" w:hanging="360"/>
      </w:pPr>
    </w:lvl>
  </w:abstractNum>
  <w:abstractNum w:abstractNumId="99">
    <w:multiLevelType w:val="hybridMultilevel"/>
    <w:lvl w:ilvl="0">
      <w:start w:val="1"/>
      <w:numFmt w:val="bullet"/>
      <w:pStyle w:val="1980"/>
      <w:isLgl w:val="false"/>
      <w:suff w:val="tab"/>
      <w:lvlText w:val=""/>
      <w:lvlJc w:val="left"/>
      <w:pPr>
        <w:ind w:left="1429" w:hanging="360"/>
      </w:pPr>
      <w:rPr>
        <w:rFonts w:hint="default" w:ascii="Symbol" w:hAnsi="Symbol" w:cs="Times New Roman"/>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100">
    <w:multiLevelType w:val="hybridMultilevel"/>
    <w:lvl w:ilvl="0">
      <w:start w:val="1"/>
      <w:numFmt w:val="bullet"/>
      <w:pStyle w:val="2043"/>
      <w:isLgl w:val="false"/>
      <w:suff w:val="tab"/>
      <w:lvlText w:val=""/>
      <w:lvlJc w:val="left"/>
      <w:pPr>
        <w:ind w:left="806" w:hanging="360"/>
      </w:pPr>
      <w:rPr>
        <w:rFonts w:hint="default" w:ascii="Symbol" w:hAnsi="Symbol"/>
      </w:rPr>
    </w:lvl>
    <w:lvl w:ilvl="1">
      <w:start w:val="1"/>
      <w:numFmt w:val="bullet"/>
      <w:isLgl w:val="false"/>
      <w:suff w:val="tab"/>
      <w:lvlText w:val="o"/>
      <w:lvlJc w:val="left"/>
      <w:pPr>
        <w:ind w:left="1526" w:hanging="360"/>
      </w:pPr>
      <w:rPr>
        <w:rFonts w:hint="default" w:ascii="Courier New" w:hAnsi="Courier New"/>
      </w:rPr>
    </w:lvl>
    <w:lvl w:ilvl="2">
      <w:start w:val="1"/>
      <w:numFmt w:val="bullet"/>
      <w:isLgl w:val="false"/>
      <w:suff w:val="tab"/>
      <w:lvlText w:val=""/>
      <w:lvlJc w:val="left"/>
      <w:pPr>
        <w:ind w:left="2246" w:hanging="360"/>
      </w:pPr>
      <w:rPr>
        <w:rFonts w:hint="default" w:ascii="Wingdings" w:hAnsi="Wingdings"/>
      </w:rPr>
    </w:lvl>
    <w:lvl w:ilvl="3">
      <w:start w:val="1"/>
      <w:numFmt w:val="bullet"/>
      <w:isLgl w:val="false"/>
      <w:suff w:val="tab"/>
      <w:lvlText w:val=""/>
      <w:lvlJc w:val="left"/>
      <w:pPr>
        <w:ind w:left="2966" w:hanging="360"/>
      </w:pPr>
      <w:rPr>
        <w:rFonts w:hint="default" w:ascii="Symbol" w:hAnsi="Symbol"/>
      </w:rPr>
    </w:lvl>
    <w:lvl w:ilvl="4">
      <w:start w:val="1"/>
      <w:numFmt w:val="bullet"/>
      <w:isLgl w:val="false"/>
      <w:suff w:val="tab"/>
      <w:lvlText w:val="o"/>
      <w:lvlJc w:val="left"/>
      <w:pPr>
        <w:ind w:left="3686" w:hanging="360"/>
      </w:pPr>
      <w:rPr>
        <w:rFonts w:hint="default" w:ascii="Courier New" w:hAnsi="Courier New"/>
      </w:rPr>
    </w:lvl>
    <w:lvl w:ilvl="5">
      <w:start w:val="1"/>
      <w:numFmt w:val="bullet"/>
      <w:isLgl w:val="false"/>
      <w:suff w:val="tab"/>
      <w:lvlText w:val=""/>
      <w:lvlJc w:val="left"/>
      <w:pPr>
        <w:ind w:left="4406" w:hanging="360"/>
      </w:pPr>
      <w:rPr>
        <w:rFonts w:hint="default" w:ascii="Wingdings" w:hAnsi="Wingdings"/>
      </w:rPr>
    </w:lvl>
    <w:lvl w:ilvl="6">
      <w:start w:val="1"/>
      <w:numFmt w:val="bullet"/>
      <w:isLgl w:val="false"/>
      <w:suff w:val="tab"/>
      <w:lvlText w:val=""/>
      <w:lvlJc w:val="left"/>
      <w:pPr>
        <w:ind w:left="5126" w:hanging="360"/>
      </w:pPr>
      <w:rPr>
        <w:rFonts w:hint="default" w:ascii="Symbol" w:hAnsi="Symbol"/>
      </w:rPr>
    </w:lvl>
    <w:lvl w:ilvl="7">
      <w:start w:val="1"/>
      <w:numFmt w:val="bullet"/>
      <w:isLgl w:val="false"/>
      <w:suff w:val="tab"/>
      <w:lvlText w:val="o"/>
      <w:lvlJc w:val="left"/>
      <w:pPr>
        <w:ind w:left="5846" w:hanging="360"/>
      </w:pPr>
      <w:rPr>
        <w:rFonts w:hint="default" w:ascii="Courier New" w:hAnsi="Courier New"/>
      </w:rPr>
    </w:lvl>
    <w:lvl w:ilvl="8">
      <w:start w:val="1"/>
      <w:numFmt w:val="bullet"/>
      <w:isLgl w:val="false"/>
      <w:suff w:val="tab"/>
      <w:lvlText w:val=""/>
      <w:lvlJc w:val="left"/>
      <w:pPr>
        <w:ind w:left="6566" w:hanging="360"/>
      </w:pPr>
      <w:rPr>
        <w:rFonts w:hint="default" w:ascii="Wingdings" w:hAnsi="Wingdings"/>
      </w:rPr>
    </w:lvl>
  </w:abstractNum>
  <w:abstractNum w:abstractNumId="101">
    <w:multiLevelType w:val="hybridMultilevel"/>
    <w:lvl w:ilvl="0">
      <w:start w:val="1"/>
      <w:numFmt w:val="bullet"/>
      <w:pStyle w:val="1946"/>
      <w:isLgl w:val="false"/>
      <w:suff w:val="tab"/>
      <w:lvlText w:val=""/>
      <w:lvlJc w:val="left"/>
      <w:pPr>
        <w:ind w:left="984"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02">
    <w:multiLevelType w:val="hybridMultilevel"/>
    <w:styleLink w:val="2008"/>
    <w:lvl w:ilvl="0">
      <w:start w:val="1"/>
      <w:numFmt w:val="russianLower"/>
      <w:pStyle w:val="2008"/>
      <w:isLgl w:val="false"/>
      <w:suff w:val="tab"/>
      <w:lvlText w:val="%1)"/>
      <w:lvlJc w:val="left"/>
      <w:pPr>
        <w:ind w:left="1134" w:hanging="425"/>
        <w:tabs>
          <w:tab w:val="num" w:pos="1134" w:leader="none"/>
        </w:tabs>
      </w:pPr>
      <w:rPr>
        <w:rFonts w:hint="default"/>
        <w:sz w:val="24"/>
      </w:rPr>
    </w:lvl>
    <w:lvl w:ilvl="1">
      <w:start w:val="1"/>
      <w:numFmt w:val="decimal"/>
      <w:isLgl w:val="false"/>
      <w:suff w:val="tab"/>
      <w:lvlText w:val="%2)"/>
      <w:lvlJc w:val="left"/>
      <w:pPr>
        <w:ind w:left="1588" w:hanging="454"/>
        <w:tabs>
          <w:tab w:val="num" w:pos="1588" w:leader="none"/>
        </w:tabs>
      </w:pPr>
      <w:rPr>
        <w:rFonts w:hint="default"/>
      </w:rPr>
    </w:lvl>
    <w:lvl w:ilvl="2">
      <w:start w:val="1"/>
      <w:numFmt w:val="lowerRoman"/>
      <w:isLgl w:val="false"/>
      <w:suff w:val="tab"/>
      <w:lvlText w:val="%3."/>
      <w:lvlJc w:val="right"/>
      <w:pPr>
        <w:ind w:left="2869" w:hanging="180"/>
        <w:tabs>
          <w:tab w:val="num" w:pos="2869" w:leader="none"/>
        </w:tabs>
      </w:pPr>
      <w:rPr>
        <w:rFonts w:hint="default"/>
      </w:rPr>
    </w:lvl>
    <w:lvl w:ilvl="3">
      <w:start w:val="1"/>
      <w:numFmt w:val="decimal"/>
      <w:isLgl w:val="false"/>
      <w:suff w:val="tab"/>
      <w:lvlText w:val="%4."/>
      <w:lvlJc w:val="left"/>
      <w:pPr>
        <w:ind w:left="3589" w:hanging="360"/>
        <w:tabs>
          <w:tab w:val="num" w:pos="3589" w:leader="none"/>
        </w:tabs>
      </w:pPr>
      <w:rPr>
        <w:rFonts w:hint="default"/>
      </w:rPr>
    </w:lvl>
    <w:lvl w:ilvl="4">
      <w:start w:val="1"/>
      <w:numFmt w:val="lowerLetter"/>
      <w:isLgl w:val="false"/>
      <w:suff w:val="tab"/>
      <w:lvlText w:val="%5."/>
      <w:lvlJc w:val="left"/>
      <w:pPr>
        <w:ind w:left="4309" w:hanging="360"/>
        <w:tabs>
          <w:tab w:val="num" w:pos="4309" w:leader="none"/>
        </w:tabs>
      </w:pPr>
      <w:rPr>
        <w:rFonts w:hint="default"/>
      </w:rPr>
    </w:lvl>
    <w:lvl w:ilvl="5">
      <w:start w:val="1"/>
      <w:numFmt w:val="lowerRoman"/>
      <w:isLgl w:val="false"/>
      <w:suff w:val="tab"/>
      <w:lvlText w:val="%6."/>
      <w:lvlJc w:val="right"/>
      <w:pPr>
        <w:ind w:left="5029" w:hanging="180"/>
        <w:tabs>
          <w:tab w:val="num" w:pos="5029" w:leader="none"/>
        </w:tabs>
      </w:pPr>
      <w:rPr>
        <w:rFonts w:hint="default"/>
      </w:rPr>
    </w:lvl>
    <w:lvl w:ilvl="6">
      <w:start w:val="1"/>
      <w:numFmt w:val="decimal"/>
      <w:isLgl w:val="false"/>
      <w:suff w:val="tab"/>
      <w:lvlText w:val="%7."/>
      <w:lvlJc w:val="left"/>
      <w:pPr>
        <w:ind w:left="5749" w:hanging="360"/>
        <w:tabs>
          <w:tab w:val="num" w:pos="5749" w:leader="none"/>
        </w:tabs>
      </w:pPr>
      <w:rPr>
        <w:rFonts w:hint="default"/>
      </w:rPr>
    </w:lvl>
    <w:lvl w:ilvl="7">
      <w:start w:val="1"/>
      <w:numFmt w:val="lowerLetter"/>
      <w:isLgl w:val="false"/>
      <w:suff w:val="tab"/>
      <w:lvlText w:val="%8."/>
      <w:lvlJc w:val="left"/>
      <w:pPr>
        <w:ind w:left="6469" w:hanging="360"/>
        <w:tabs>
          <w:tab w:val="num" w:pos="6469" w:leader="none"/>
        </w:tabs>
      </w:pPr>
      <w:rPr>
        <w:rFonts w:hint="default"/>
      </w:rPr>
    </w:lvl>
    <w:lvl w:ilvl="8">
      <w:start w:val="1"/>
      <w:numFmt w:val="lowerRoman"/>
      <w:isLgl w:val="false"/>
      <w:suff w:val="tab"/>
      <w:lvlText w:val="%9."/>
      <w:lvlJc w:val="right"/>
      <w:pPr>
        <w:ind w:left="7189" w:hanging="180"/>
        <w:tabs>
          <w:tab w:val="num" w:pos="7189" w:leader="none"/>
        </w:tabs>
      </w:pPr>
      <w:rPr>
        <w:rFonts w:hint="default"/>
      </w:rPr>
    </w:lvl>
  </w:abstractNum>
  <w:abstractNum w:abstractNumId="103">
    <w:multiLevelType w:val="hybridMultilevel"/>
    <w:lvl w:ilvl="0">
      <w:start w:val="1"/>
      <w:numFmt w:val="bullet"/>
      <w:pStyle w:val="2206"/>
      <w:isLgl w:val="false"/>
      <w:suff w:val="tab"/>
      <w:lvlText w:val="–"/>
      <w:lvlJc w:val="left"/>
      <w:pPr>
        <w:ind w:left="284" w:hanging="284"/>
        <w:tabs>
          <w:tab w:val="num" w:pos="284" w:leader="none"/>
        </w:tabs>
      </w:pPr>
      <w:rPr>
        <w:rFonts w:hint="default" w:ascii="Verdana" w:hAnsi="Verdana"/>
        <w:color w:val="auto"/>
        <w:sz w:val="24"/>
      </w:rPr>
    </w:lvl>
    <w:lvl w:ilvl="1">
      <w:start w:val="1"/>
      <w:numFmt w:val="bullet"/>
      <w:isLgl w:val="false"/>
      <w:suff w:val="tab"/>
      <w:lvlText w:val="―"/>
      <w:lvlJc w:val="left"/>
      <w:pPr>
        <w:ind w:left="1275" w:hanging="283"/>
        <w:tabs>
          <w:tab w:val="num" w:pos="1275" w:leader="none"/>
        </w:tabs>
      </w:pPr>
      <w:rPr>
        <w:rFonts w:hint="default" w:ascii="Verdana" w:hAnsi="Verdana"/>
        <w:color w:val="auto"/>
        <w:sz w:val="16"/>
      </w:rPr>
    </w:lvl>
    <w:lvl w:ilvl="2">
      <w:start w:val="1"/>
      <w:numFmt w:val="bullet"/>
      <w:isLgl w:val="false"/>
      <w:suff w:val="tab"/>
      <w:lvlText w:val="–"/>
      <w:lvlJc w:val="left"/>
      <w:pPr>
        <w:ind w:left="1559" w:hanging="284"/>
        <w:tabs>
          <w:tab w:val="num" w:pos="1559" w:leader="none"/>
        </w:tabs>
      </w:pPr>
      <w:rPr>
        <w:rFonts w:hint="default" w:ascii="Verdana" w:hAnsi="Verdana"/>
        <w:b/>
        <w:i w:val="0"/>
        <w:sz w:val="24"/>
      </w:rPr>
    </w:lvl>
    <w:lvl w:ilvl="3">
      <w:start w:val="1"/>
      <w:numFmt w:val="bullet"/>
      <w:isLgl w:val="false"/>
      <w:suff w:val="tab"/>
      <w:lvlText w:val=""/>
      <w:lvlJc w:val="left"/>
      <w:pPr>
        <w:ind w:left="1303" w:hanging="360"/>
        <w:tabs>
          <w:tab w:val="num" w:pos="1303" w:leader="none"/>
        </w:tabs>
      </w:pPr>
      <w:rPr>
        <w:rFonts w:hint="default" w:ascii="Symbol" w:hAnsi="Symbol"/>
      </w:rPr>
    </w:lvl>
    <w:lvl w:ilvl="4">
      <w:start w:val="1"/>
      <w:numFmt w:val="bullet"/>
      <w:isLgl w:val="false"/>
      <w:suff w:val="tab"/>
      <w:lvlText w:val=""/>
      <w:lvlJc w:val="left"/>
      <w:pPr>
        <w:ind w:left="1663" w:hanging="360"/>
        <w:tabs>
          <w:tab w:val="num" w:pos="1663" w:leader="none"/>
        </w:tabs>
      </w:pPr>
      <w:rPr>
        <w:rFonts w:hint="default" w:ascii="Symbol" w:hAnsi="Symbol"/>
      </w:rPr>
    </w:lvl>
    <w:lvl w:ilvl="5">
      <w:start w:val="1"/>
      <w:numFmt w:val="bullet"/>
      <w:isLgl w:val="false"/>
      <w:suff w:val="tab"/>
      <w:lvlText w:val=""/>
      <w:lvlJc w:val="left"/>
      <w:pPr>
        <w:ind w:left="2023" w:hanging="360"/>
        <w:tabs>
          <w:tab w:val="num" w:pos="2023" w:leader="none"/>
        </w:tabs>
      </w:pPr>
      <w:rPr>
        <w:rFonts w:hint="default" w:ascii="Wingdings" w:hAnsi="Wingdings"/>
      </w:rPr>
    </w:lvl>
    <w:lvl w:ilvl="6">
      <w:start w:val="1"/>
      <w:numFmt w:val="bullet"/>
      <w:isLgl w:val="false"/>
      <w:suff w:val="tab"/>
      <w:lvlText w:val=""/>
      <w:lvlJc w:val="left"/>
      <w:pPr>
        <w:ind w:left="2383" w:hanging="360"/>
        <w:tabs>
          <w:tab w:val="num" w:pos="2383" w:leader="none"/>
        </w:tabs>
      </w:pPr>
      <w:rPr>
        <w:rFonts w:hint="default" w:ascii="Wingdings" w:hAnsi="Wingdings"/>
      </w:rPr>
    </w:lvl>
    <w:lvl w:ilvl="7">
      <w:start w:val="1"/>
      <w:numFmt w:val="bullet"/>
      <w:isLgl w:val="false"/>
      <w:suff w:val="tab"/>
      <w:lvlText w:val=""/>
      <w:lvlJc w:val="left"/>
      <w:pPr>
        <w:ind w:left="2743" w:hanging="360"/>
        <w:tabs>
          <w:tab w:val="num" w:pos="2743" w:leader="none"/>
        </w:tabs>
      </w:pPr>
      <w:rPr>
        <w:rFonts w:hint="default" w:ascii="Symbol" w:hAnsi="Symbol"/>
      </w:rPr>
    </w:lvl>
    <w:lvl w:ilvl="8">
      <w:start w:val="1"/>
      <w:numFmt w:val="bullet"/>
      <w:isLgl w:val="false"/>
      <w:suff w:val="tab"/>
      <w:lvlText w:val=""/>
      <w:lvlJc w:val="left"/>
      <w:pPr>
        <w:ind w:left="3103" w:hanging="360"/>
        <w:tabs>
          <w:tab w:val="num" w:pos="3103" w:leader="none"/>
        </w:tabs>
      </w:pPr>
      <w:rPr>
        <w:rFonts w:hint="default" w:ascii="Symbol" w:hAnsi="Symbol"/>
      </w:rPr>
    </w:lvl>
  </w:abstractNum>
  <w:abstractNum w:abstractNumId="104">
    <w:multiLevelType w:val="hybridMultilevel"/>
    <w:lvl w:ilvl="0">
      <w:start w:val="1"/>
      <w:numFmt w:val="russianLower"/>
      <w:pStyle w:val="1556"/>
      <w:isLgl w:val="false"/>
      <w:suff w:val="tab"/>
      <w:lvlText w:val="%1)"/>
      <w:lvlJc w:val="left"/>
      <w:pPr>
        <w:ind w:left="284" w:hanging="227"/>
        <w:tabs>
          <w:tab w:val="num" w:pos="284" w:leader="none"/>
        </w:tabs>
      </w:pPr>
      <w:rPr>
        <w:rFonts w:hint="default"/>
        <w:b w:val="0"/>
        <w:bCs w:val="0"/>
        <w:i w:val="0"/>
        <w:iCs w:val="0"/>
        <w:caps w:val="0"/>
        <w:smallCaps w:val="0"/>
        <w:strike w:val="0"/>
        <w:vanish w:val="0"/>
        <w:color w:val="000000"/>
        <w:spacing w:val="0"/>
        <w:position w:val="0"/>
        <w:u w:val="none"/>
        <w:vertAlign w:val="baseline"/>
      </w:rPr>
    </w:lvl>
    <w:lvl w:ilvl="1">
      <w:start w:val="1"/>
      <w:numFmt w:val="decimal"/>
      <w:isLgl w:val="false"/>
      <w:suff w:val="tab"/>
      <w:lvlText w:val="%1.%2."/>
      <w:lvlJc w:val="left"/>
      <w:pPr>
        <w:ind w:left="709" w:hanging="425"/>
        <w:tabs>
          <w:tab w:val="num" w:pos="567" w:leader="none"/>
        </w:tabs>
      </w:pPr>
      <w:rPr>
        <w:rFonts w:ascii="Times New Roman" w:hAnsi="Times New Roman" w:cs="Times New Roman"/>
        <w:b w:val="0"/>
        <w:bCs w:val="0"/>
        <w:i w:val="0"/>
        <w:iCs w:val="0"/>
        <w:caps w:val="0"/>
        <w:smallCaps w:val="0"/>
        <w:strike w:val="0"/>
        <w:vanish w:val="0"/>
        <w:color w:val="000000"/>
        <w:spacing w:val="0"/>
        <w:position w:val="0"/>
        <w:szCs w:val="0"/>
        <w:u w:val="none"/>
        <w:vertAlign w:val="baseline"/>
      </w:rPr>
    </w:lvl>
    <w:lvl w:ilvl="2">
      <w:start w:val="1"/>
      <w:numFmt w:val="decimal"/>
      <w:isLgl w:val="false"/>
      <w:suff w:val="tab"/>
      <w:lvlText w:val="%2.%1.%3."/>
      <w:lvlJc w:val="left"/>
      <w:pPr>
        <w:ind w:left="1276" w:hanging="567"/>
        <w:tabs>
          <w:tab w:val="num" w:pos="1134" w:leader="none"/>
        </w:tabs>
      </w:pPr>
      <w:rPr>
        <w:rFonts w:hint="default" w:ascii="Times New Roman" w:hAnsi="Times New Roman"/>
        <w:sz w:val="24"/>
        <w:szCs w:val="24"/>
      </w:rPr>
    </w:lvl>
    <w:lvl w:ilvl="3">
      <w:start w:val="1"/>
      <w:numFmt w:val="decimal"/>
      <w:isLgl w:val="false"/>
      <w:suff w:val="tab"/>
      <w:lvlText w:val="%1.%2.%3.%4."/>
      <w:lvlJc w:val="left"/>
      <w:pPr>
        <w:ind w:left="2295" w:hanging="648"/>
        <w:tabs>
          <w:tab w:val="num" w:pos="2367" w:leader="none"/>
        </w:tabs>
      </w:pPr>
      <w:rPr>
        <w:rFonts w:hint="default"/>
      </w:rPr>
    </w:lvl>
    <w:lvl w:ilvl="4">
      <w:start w:val="1"/>
      <w:numFmt w:val="decimal"/>
      <w:isLgl w:val="false"/>
      <w:suff w:val="tab"/>
      <w:lvlText w:val="%1.%2.%3.%4.%5."/>
      <w:lvlJc w:val="left"/>
      <w:pPr>
        <w:ind w:left="2799" w:hanging="792"/>
        <w:tabs>
          <w:tab w:val="num" w:pos="3087" w:leader="none"/>
        </w:tabs>
      </w:pPr>
      <w:rPr>
        <w:rFonts w:hint="default"/>
      </w:rPr>
    </w:lvl>
    <w:lvl w:ilvl="5">
      <w:start w:val="1"/>
      <w:numFmt w:val="decimal"/>
      <w:isLgl w:val="false"/>
      <w:suff w:val="tab"/>
      <w:lvlText w:val="%1.%2.%3.%4.%5.%6."/>
      <w:lvlJc w:val="left"/>
      <w:pPr>
        <w:ind w:left="3303" w:hanging="936"/>
        <w:tabs>
          <w:tab w:val="num" w:pos="3447" w:leader="none"/>
        </w:tabs>
      </w:pPr>
      <w:rPr>
        <w:rFonts w:hint="default"/>
      </w:rPr>
    </w:lvl>
    <w:lvl w:ilvl="6">
      <w:start w:val="1"/>
      <w:numFmt w:val="decimal"/>
      <w:isLgl w:val="false"/>
      <w:suff w:val="tab"/>
      <w:lvlText w:val="%1.%2.%3.%4.%5.%6.%7."/>
      <w:lvlJc w:val="left"/>
      <w:pPr>
        <w:ind w:left="3807" w:hanging="1080"/>
        <w:tabs>
          <w:tab w:val="num" w:pos="4167" w:leader="none"/>
        </w:tabs>
      </w:pPr>
      <w:rPr>
        <w:rFonts w:hint="default"/>
      </w:rPr>
    </w:lvl>
    <w:lvl w:ilvl="7">
      <w:start w:val="1"/>
      <w:numFmt w:val="decimal"/>
      <w:isLgl w:val="false"/>
      <w:suff w:val="tab"/>
      <w:lvlText w:val="%1.%2.%3.%4.%5.%6.%7.%8."/>
      <w:lvlJc w:val="left"/>
      <w:pPr>
        <w:ind w:left="4311" w:hanging="1224"/>
        <w:tabs>
          <w:tab w:val="num" w:pos="4527" w:leader="none"/>
        </w:tabs>
      </w:pPr>
      <w:rPr>
        <w:rFonts w:hint="default"/>
      </w:rPr>
    </w:lvl>
    <w:lvl w:ilvl="8">
      <w:start w:val="1"/>
      <w:numFmt w:val="decimal"/>
      <w:isLgl w:val="false"/>
      <w:suff w:val="tab"/>
      <w:lvlText w:val="%1.%2.%3.%4.%5.%6.%7.%8.%9."/>
      <w:lvlJc w:val="left"/>
      <w:pPr>
        <w:ind w:left="4887" w:hanging="1440"/>
        <w:tabs>
          <w:tab w:val="num" w:pos="5247" w:leader="none"/>
        </w:tabs>
      </w:pPr>
      <w:rPr>
        <w:rFonts w:hint="default"/>
      </w:rPr>
    </w:lvl>
  </w:abstractNum>
  <w:abstractNum w:abstractNumId="105">
    <w:multiLevelType w:val="hybridMultilevel"/>
    <w:lvl w:ilvl="0">
      <w:start w:val="1"/>
      <w:numFmt w:val="decimal"/>
      <w:pStyle w:val="2046"/>
      <w:isLgl w:val="false"/>
      <w:suff w:val="tab"/>
      <w:lvlText w:val="E2.%1."/>
      <w:lvlJc w:val="left"/>
      <w:pPr>
        <w:ind w:left="417" w:hanging="360"/>
      </w:pPr>
      <w:rPr>
        <w:rFonts w:hint="default" w:ascii="Times New Roman" w:hAnsi="Times New Roman" w:cs="Times New Roman"/>
        <w:b w:val="0"/>
        <w:bCs w:val="0"/>
        <w:i w:val="0"/>
        <w:iCs w:val="0"/>
        <w:caps w:val="0"/>
        <w:smallCaps w:val="0"/>
        <w:strike w:val="0"/>
        <w:vanish w:val="0"/>
        <w:color w:val="000000"/>
        <w:spacing w:val="0"/>
        <w:position w:val="0"/>
        <w:sz w:val="24"/>
        <w:szCs w:val="24"/>
        <w:u w:val="none"/>
        <w:vertAlign w:val="baseline"/>
      </w:rPr>
    </w:lvl>
    <w:lvl w:ilvl="1">
      <w:start w:val="1"/>
      <w:numFmt w:val="lowerLetter"/>
      <w:isLgl w:val="false"/>
      <w:suff w:val="tab"/>
      <w:lvlText w:val="%2."/>
      <w:lvlJc w:val="left"/>
      <w:pPr>
        <w:ind w:left="1440" w:hanging="360"/>
      </w:pPr>
      <w:rPr>
        <w:rFonts w:cs="Times New Roman"/>
      </w:rPr>
    </w:lvl>
    <w:lvl w:ilvl="2">
      <w:start w:val="1"/>
      <w:numFmt w:val="lowerRoman"/>
      <w:isLgl w:val="false"/>
      <w:suff w:val="tab"/>
      <w:lvlText w:val="%3."/>
      <w:lvlJc w:val="right"/>
      <w:pPr>
        <w:ind w:left="2160" w:hanging="180"/>
      </w:pPr>
      <w:rPr>
        <w:rFonts w:cs="Times New Roman"/>
      </w:rPr>
    </w:lvl>
    <w:lvl w:ilvl="3">
      <w:start w:val="1"/>
      <w:numFmt w:val="decimal"/>
      <w:isLgl w:val="false"/>
      <w:suff w:val="tab"/>
      <w:lvlText w:val="%4."/>
      <w:lvlJc w:val="left"/>
      <w:pPr>
        <w:ind w:left="2880" w:hanging="360"/>
      </w:pPr>
      <w:rPr>
        <w:rFonts w:cs="Times New Roman"/>
      </w:rPr>
    </w:lvl>
    <w:lvl w:ilvl="4">
      <w:start w:val="1"/>
      <w:numFmt w:val="lowerLetter"/>
      <w:isLgl w:val="false"/>
      <w:suff w:val="tab"/>
      <w:lvlText w:val="%5."/>
      <w:lvlJc w:val="left"/>
      <w:pPr>
        <w:ind w:left="3600" w:hanging="360"/>
      </w:pPr>
      <w:rPr>
        <w:rFonts w:cs="Times New Roman"/>
      </w:rPr>
    </w:lvl>
    <w:lvl w:ilvl="5">
      <w:start w:val="1"/>
      <w:numFmt w:val="lowerRoman"/>
      <w:isLgl w:val="false"/>
      <w:suff w:val="tab"/>
      <w:lvlText w:val="%6."/>
      <w:lvlJc w:val="right"/>
      <w:pPr>
        <w:ind w:left="4320" w:hanging="180"/>
      </w:pPr>
      <w:rPr>
        <w:rFonts w:cs="Times New Roman"/>
      </w:rPr>
    </w:lvl>
    <w:lvl w:ilvl="6">
      <w:start w:val="1"/>
      <w:numFmt w:val="decimal"/>
      <w:isLgl w:val="false"/>
      <w:suff w:val="tab"/>
      <w:lvlText w:val="%7."/>
      <w:lvlJc w:val="left"/>
      <w:pPr>
        <w:ind w:left="5040" w:hanging="360"/>
      </w:pPr>
      <w:rPr>
        <w:rFonts w:cs="Times New Roman"/>
      </w:rPr>
    </w:lvl>
    <w:lvl w:ilvl="7">
      <w:start w:val="1"/>
      <w:numFmt w:val="lowerLetter"/>
      <w:isLgl w:val="false"/>
      <w:suff w:val="tab"/>
      <w:lvlText w:val="%8."/>
      <w:lvlJc w:val="left"/>
      <w:pPr>
        <w:ind w:left="5760" w:hanging="360"/>
      </w:pPr>
      <w:rPr>
        <w:rFonts w:cs="Times New Roman"/>
      </w:rPr>
    </w:lvl>
    <w:lvl w:ilvl="8">
      <w:start w:val="1"/>
      <w:numFmt w:val="lowerRoman"/>
      <w:isLgl w:val="false"/>
      <w:suff w:val="tab"/>
      <w:lvlText w:val="%9."/>
      <w:lvlJc w:val="right"/>
      <w:pPr>
        <w:ind w:left="6480" w:hanging="180"/>
      </w:pPr>
      <w:rPr>
        <w:rFonts w:cs="Times New Roman"/>
      </w:rPr>
    </w:lvl>
  </w:abstractNum>
  <w:abstractNum w:abstractNumId="106">
    <w:multiLevelType w:val="hybridMultilevel"/>
    <w:lvl w:ilvl="0">
      <w:start w:val="1"/>
      <w:numFmt w:val="decimal"/>
      <w:pStyle w:val="2278"/>
      <w:isLgl w:val="false"/>
      <w:suff w:val="tab"/>
      <w:lvlText w:val="%1."/>
      <w:lvlJc w:val="left"/>
      <w:pPr>
        <w:ind w:left="360" w:hanging="360"/>
      </w:pPr>
    </w:lvl>
    <w:lvl w:ilvl="1">
      <w:start w:val="1"/>
      <w:numFmt w:val="decimal"/>
      <w:pStyle w:val="2278"/>
      <w:isLgl w:val="false"/>
      <w:suff w:val="tab"/>
      <w:lvlText w:val="2.%2."/>
      <w:lvlJc w:val="left"/>
      <w:pPr>
        <w:ind w:left="1004" w:hanging="720"/>
      </w:pPr>
      <w:rPr>
        <w:rFonts w:hint="default" w:ascii="Times New Roman" w:hAnsi="Times New Roman" w:cs="Times New Roman"/>
      </w:rPr>
    </w:lvl>
    <w:lvl w:ilvl="2">
      <w:start w:val="1"/>
      <w:numFmt w:val="decimal"/>
      <w:isLgl/>
      <w:suff w:val="tab"/>
      <w:lvlText w:val="%1.%2.%3."/>
      <w:lvlJc w:val="left"/>
      <w:pPr>
        <w:ind w:left="1288" w:hanging="720"/>
      </w:pPr>
      <w:rPr>
        <w:rFonts w:hint="default" w:asciiTheme="minorHAnsi" w:hAnsiTheme="minorHAnsi"/>
      </w:rPr>
    </w:lvl>
    <w:lvl w:ilvl="3">
      <w:start w:val="1"/>
      <w:numFmt w:val="decimal"/>
      <w:isLgl/>
      <w:suff w:val="tab"/>
      <w:lvlText w:val="%1.%2.%3.%4."/>
      <w:lvlJc w:val="left"/>
      <w:pPr>
        <w:ind w:left="1932" w:hanging="1080"/>
      </w:pPr>
      <w:rPr>
        <w:rFonts w:hint="default" w:asciiTheme="minorHAnsi" w:hAnsiTheme="minorHAnsi"/>
      </w:rPr>
    </w:lvl>
    <w:lvl w:ilvl="4">
      <w:start w:val="1"/>
      <w:numFmt w:val="decimal"/>
      <w:isLgl/>
      <w:suff w:val="tab"/>
      <w:lvlText w:val="%1.%2.%3.%4.%5."/>
      <w:lvlJc w:val="left"/>
      <w:pPr>
        <w:ind w:left="2216" w:hanging="1080"/>
      </w:pPr>
      <w:rPr>
        <w:rFonts w:hint="default" w:asciiTheme="minorHAnsi" w:hAnsiTheme="minorHAnsi"/>
      </w:rPr>
    </w:lvl>
    <w:lvl w:ilvl="5">
      <w:start w:val="1"/>
      <w:numFmt w:val="decimal"/>
      <w:isLgl/>
      <w:suff w:val="tab"/>
      <w:lvlText w:val="%1.%2.%3.%4.%5.%6."/>
      <w:lvlJc w:val="left"/>
      <w:pPr>
        <w:ind w:left="2860" w:hanging="1440"/>
      </w:pPr>
      <w:rPr>
        <w:rFonts w:hint="default" w:asciiTheme="minorHAnsi" w:hAnsiTheme="minorHAnsi"/>
      </w:rPr>
    </w:lvl>
    <w:lvl w:ilvl="6">
      <w:start w:val="1"/>
      <w:numFmt w:val="decimal"/>
      <w:isLgl/>
      <w:suff w:val="tab"/>
      <w:lvlText w:val="%1.%2.%3.%4.%5.%6.%7."/>
      <w:lvlJc w:val="left"/>
      <w:pPr>
        <w:ind w:left="3504" w:hanging="1800"/>
      </w:pPr>
      <w:rPr>
        <w:rFonts w:hint="default" w:asciiTheme="minorHAnsi" w:hAnsiTheme="minorHAnsi"/>
      </w:rPr>
    </w:lvl>
    <w:lvl w:ilvl="7">
      <w:start w:val="1"/>
      <w:numFmt w:val="decimal"/>
      <w:isLgl/>
      <w:suff w:val="tab"/>
      <w:lvlText w:val="%1.%2.%3.%4.%5.%6.%7.%8."/>
      <w:lvlJc w:val="left"/>
      <w:pPr>
        <w:ind w:left="3788" w:hanging="1800"/>
      </w:pPr>
      <w:rPr>
        <w:rFonts w:hint="default" w:asciiTheme="minorHAnsi" w:hAnsiTheme="minorHAnsi"/>
      </w:rPr>
    </w:lvl>
    <w:lvl w:ilvl="8">
      <w:start w:val="1"/>
      <w:numFmt w:val="decimal"/>
      <w:isLgl/>
      <w:suff w:val="tab"/>
      <w:lvlText w:val="%1.%2.%3.%4.%5.%6.%7.%8.%9."/>
      <w:lvlJc w:val="left"/>
      <w:pPr>
        <w:ind w:left="4432" w:hanging="2160"/>
      </w:pPr>
      <w:rPr>
        <w:rFonts w:hint="default" w:asciiTheme="minorHAnsi" w:hAnsiTheme="minorHAnsi"/>
      </w:rPr>
    </w:lvl>
  </w:abstractNum>
  <w:abstractNum w:abstractNumId="107">
    <w:multiLevelType w:val="hybridMultilevel"/>
    <w:lvl w:ilvl="0">
      <w:start w:val="1"/>
      <w:numFmt w:val="decimal"/>
      <w:isLgl w:val="false"/>
      <w:suff w:val="tab"/>
      <w:lvlText w:val="%1"/>
      <w:lvlJc w:val="left"/>
      <w:pPr>
        <w:ind w:left="432" w:hanging="432"/>
        <w:tabs>
          <w:tab w:val="num" w:pos="432" w:leader="none"/>
        </w:tabs>
      </w:pPr>
      <w:rPr>
        <w:rFonts w:hint="default"/>
      </w:rPr>
    </w:lvl>
    <w:lvl w:ilvl="1">
      <w:start w:val="1"/>
      <w:numFmt w:val="decimal"/>
      <w:isLgl w:val="false"/>
      <w:suff w:val="tab"/>
      <w:lvlText w:val="%1.%2"/>
      <w:lvlJc w:val="left"/>
      <w:pPr>
        <w:ind w:left="576" w:hanging="576"/>
        <w:tabs>
          <w:tab w:val="num" w:pos="576" w:leader="none"/>
        </w:tabs>
      </w:pPr>
      <w:rPr>
        <w:rFonts w:hint="default"/>
      </w:rPr>
    </w:lvl>
    <w:lvl w:ilvl="2">
      <w:start w:val="1"/>
      <w:numFmt w:val="decimal"/>
      <w:isLgl w:val="false"/>
      <w:suff w:val="tab"/>
      <w:lvlText w:val="%1.%2.%3"/>
      <w:lvlJc w:val="left"/>
      <w:pPr>
        <w:ind w:left="720" w:hanging="720"/>
        <w:tabs>
          <w:tab w:val="num" w:pos="720" w:leader="none"/>
        </w:tabs>
      </w:pPr>
      <w:rPr>
        <w:rFonts w:hint="default"/>
      </w:rPr>
    </w:lvl>
    <w:lvl w:ilvl="3">
      <w:start w:val="1"/>
      <w:numFmt w:val="decimal"/>
      <w:isLgl w:val="false"/>
      <w:suff w:val="tab"/>
      <w:lvlText w:val="%1.%2.%3.%4"/>
      <w:lvlJc w:val="left"/>
      <w:pPr>
        <w:ind w:left="864" w:hanging="864"/>
        <w:tabs>
          <w:tab w:val="num" w:pos="864" w:leader="none"/>
        </w:tabs>
      </w:pPr>
      <w:rPr>
        <w:rFonts w:hint="default"/>
      </w:rPr>
    </w:lvl>
    <w:lvl w:ilvl="4">
      <w:start w:val="1"/>
      <w:numFmt w:val="decimal"/>
      <w:isLgl w:val="false"/>
      <w:suff w:val="tab"/>
      <w:lvlText w:val="%1.%2.%3.%4.%5"/>
      <w:lvlJc w:val="left"/>
      <w:pPr>
        <w:ind w:left="1008" w:hanging="1008"/>
        <w:tabs>
          <w:tab w:val="num" w:pos="1008" w:leader="none"/>
        </w:tabs>
      </w:pPr>
      <w:rPr>
        <w:rFonts w:hint="default"/>
      </w:rPr>
    </w:lvl>
    <w:lvl w:ilvl="5">
      <w:start w:val="1"/>
      <w:numFmt w:val="decimal"/>
      <w:isLgl w:val="false"/>
      <w:suff w:val="tab"/>
      <w:lvlText w:val="%1.%2.%3.%4.%5.%6"/>
      <w:lvlJc w:val="left"/>
      <w:pPr>
        <w:ind w:left="1152" w:hanging="1152"/>
        <w:tabs>
          <w:tab w:val="num" w:pos="1152" w:leader="none"/>
        </w:tabs>
      </w:pPr>
      <w:rPr>
        <w:rFonts w:hint="default"/>
      </w:rPr>
    </w:lvl>
    <w:lvl w:ilvl="6">
      <w:start w:val="1"/>
      <w:numFmt w:val="decimal"/>
      <w:isLgl w:val="false"/>
      <w:suff w:val="tab"/>
      <w:lvlText w:val="%1.%2.%3.%4.%5.%6.%7"/>
      <w:lvlJc w:val="left"/>
      <w:pPr>
        <w:ind w:left="1296" w:hanging="1296"/>
        <w:tabs>
          <w:tab w:val="num" w:pos="1296" w:leader="none"/>
        </w:tabs>
      </w:pPr>
      <w:rPr>
        <w:rFonts w:hint="default"/>
      </w:rPr>
    </w:lvl>
    <w:lvl w:ilvl="7">
      <w:start w:val="1"/>
      <w:numFmt w:val="decimal"/>
      <w:isLgl w:val="false"/>
      <w:suff w:val="tab"/>
      <w:lvlText w:val="%1.%2.%3.%4.%5.%6.%7.%8"/>
      <w:lvlJc w:val="left"/>
      <w:pPr>
        <w:ind w:left="1440" w:hanging="1440"/>
        <w:tabs>
          <w:tab w:val="num" w:pos="1440" w:leader="none"/>
        </w:tabs>
      </w:pPr>
      <w:rPr>
        <w:rFonts w:hint="default"/>
      </w:rPr>
    </w:lvl>
    <w:lvl w:ilvl="8">
      <w:start w:val="1"/>
      <w:numFmt w:val="decimal"/>
      <w:pStyle w:val="1289"/>
      <w:isLgl w:val="false"/>
      <w:suff w:val="tab"/>
      <w:lvlText w:val="%1.%2.%3.%4.%5.%6.%7.%8.%9"/>
      <w:lvlJc w:val="left"/>
      <w:pPr>
        <w:ind w:left="1584" w:hanging="1584"/>
        <w:tabs>
          <w:tab w:val="num" w:pos="1584" w:leader="none"/>
        </w:tabs>
      </w:pPr>
      <w:rPr>
        <w:rFonts w:hint="default"/>
      </w:rPr>
    </w:lvl>
  </w:abstractNum>
  <w:abstractNum w:abstractNumId="108">
    <w:multiLevelType w:val="hybridMultilevel"/>
    <w:lvl w:ilvl="0">
      <w:start w:val="1"/>
      <w:numFmt w:val="decimal"/>
      <w:pStyle w:val="2090"/>
      <w:isLgl w:val="false"/>
      <w:suff w:val="tab"/>
      <w:lvlText w:val="[%1]"/>
      <w:lvlJc w:val="left"/>
      <w:pPr>
        <w:ind w:left="720" w:hanging="360"/>
        <w:tabs>
          <w:tab w:val="num" w:pos="720" w:leader="none"/>
        </w:tabs>
      </w:pPr>
      <w:rPr>
        <w:rFonts w:hint="default"/>
      </w:r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109">
    <w:multiLevelType w:val="hybridMultilevel"/>
    <w:lvl w:ilvl="0">
      <w:start w:val="1"/>
      <w:numFmt w:val="decimal"/>
      <w:isLgl w:val="false"/>
      <w:suff w:val="tab"/>
      <w:lvlText w:val="%1)"/>
      <w:lvlJc w:val="left"/>
      <w:pPr>
        <w:ind w:left="360" w:hanging="360"/>
        <w:tabs>
          <w:tab w:val="num" w:pos="360" w:leader="none"/>
        </w:tabs>
      </w:pPr>
    </w:lvl>
    <w:lvl w:ilvl="1">
      <w:start w:val="1"/>
      <w:numFmt w:val="lowerLetter"/>
      <w:isLgl w:val="false"/>
      <w:suff w:val="tab"/>
      <w:lvlText w:val="%2)"/>
      <w:lvlJc w:val="left"/>
      <w:pPr>
        <w:ind w:left="720" w:hanging="360"/>
        <w:tabs>
          <w:tab w:val="num" w:pos="720" w:leader="none"/>
        </w:tabs>
      </w:pPr>
    </w:lvl>
    <w:lvl w:ilvl="2">
      <w:start w:val="1"/>
      <w:numFmt w:val="lowerRoman"/>
      <w:isLgl w:val="false"/>
      <w:suff w:val="tab"/>
      <w:lvlText w:val="%3)"/>
      <w:lvlJc w:val="left"/>
      <w:pPr>
        <w:ind w:left="1080" w:hanging="360"/>
        <w:tabs>
          <w:tab w:val="num" w:pos="1080" w:leader="none"/>
        </w:tabs>
      </w:pPr>
    </w:lvl>
    <w:lvl w:ilvl="3">
      <w:start w:val="1"/>
      <w:numFmt w:val="decimal"/>
      <w:isLgl w:val="false"/>
      <w:suff w:val="tab"/>
      <w:lvlText w:val="(%4)"/>
      <w:lvlJc w:val="left"/>
      <w:pPr>
        <w:ind w:left="1440" w:hanging="360"/>
        <w:tabs>
          <w:tab w:val="num" w:pos="1440" w:leader="none"/>
        </w:tabs>
      </w:pPr>
    </w:lvl>
    <w:lvl w:ilvl="4">
      <w:start w:val="1"/>
      <w:numFmt w:val="lowerLetter"/>
      <w:isLgl w:val="false"/>
      <w:suff w:val="tab"/>
      <w:lvlText w:val="(%5)"/>
      <w:lvlJc w:val="left"/>
      <w:pPr>
        <w:ind w:left="1800" w:hanging="360"/>
        <w:tabs>
          <w:tab w:val="num" w:pos="1800" w:leader="none"/>
        </w:tabs>
      </w:pPr>
    </w:lvl>
    <w:lvl w:ilvl="5">
      <w:start w:val="1"/>
      <w:numFmt w:val="lowerRoman"/>
      <w:isLgl w:val="false"/>
      <w:suff w:val="tab"/>
      <w:lvlText w:val="(%6)"/>
      <w:lvlJc w:val="left"/>
      <w:pPr>
        <w:ind w:left="2160" w:hanging="360"/>
        <w:tabs>
          <w:tab w:val="num" w:pos="2160" w:leader="none"/>
        </w:tabs>
      </w:pPr>
    </w:lvl>
    <w:lvl w:ilvl="6">
      <w:start w:val="1"/>
      <w:numFmt w:val="decimal"/>
      <w:isLgl w:val="false"/>
      <w:suff w:val="tab"/>
      <w:lvlText w:val="%7."/>
      <w:lvlJc w:val="left"/>
      <w:pPr>
        <w:ind w:left="2520" w:hanging="360"/>
        <w:tabs>
          <w:tab w:val="num" w:pos="2520" w:leader="none"/>
        </w:tabs>
      </w:pPr>
    </w:lvl>
    <w:lvl w:ilvl="7">
      <w:start w:val="1"/>
      <w:numFmt w:val="lowerLetter"/>
      <w:isLgl w:val="false"/>
      <w:suff w:val="tab"/>
      <w:lvlText w:val="%8."/>
      <w:lvlJc w:val="left"/>
      <w:pPr>
        <w:ind w:left="2880" w:hanging="360"/>
        <w:tabs>
          <w:tab w:val="num" w:pos="2880" w:leader="none"/>
        </w:tabs>
      </w:pPr>
    </w:lvl>
    <w:lvl w:ilvl="8">
      <w:start w:val="1"/>
      <w:numFmt w:val="lowerRoman"/>
      <w:isLgl w:val="false"/>
      <w:suff w:val="tab"/>
      <w:lvlText w:val="%9."/>
      <w:lvlJc w:val="left"/>
      <w:pPr>
        <w:ind w:left="3240" w:hanging="360"/>
        <w:tabs>
          <w:tab w:val="num" w:pos="3240" w:leader="none"/>
        </w:tabs>
      </w:pPr>
    </w:lvl>
  </w:abstractNum>
  <w:abstractNum w:abstractNumId="110">
    <w:multiLevelType w:val="hybridMultilevel"/>
    <w:lvl w:ilvl="0">
      <w:start w:val="1"/>
      <w:numFmt w:val="bullet"/>
      <w:isLgl w:val="false"/>
      <w:suff w:val="tab"/>
      <w:lvlText w:val=""/>
      <w:lvlJc w:val="left"/>
      <w:pPr>
        <w:ind w:left="1108" w:hanging="360"/>
        <w:tabs>
          <w:tab w:val="num" w:pos="1108" w:leader="none"/>
        </w:tabs>
      </w:pPr>
      <w:rPr>
        <w:rFonts w:hint="default" w:ascii="Symbol" w:hAnsi="Symbol"/>
      </w:rPr>
    </w:lvl>
    <w:lvl w:ilvl="1">
      <w:start w:val="1"/>
      <w:numFmt w:val="bullet"/>
      <w:isLgl w:val="false"/>
      <w:suff w:val="tab"/>
      <w:lvlText w:val="o"/>
      <w:lvlJc w:val="left"/>
      <w:pPr>
        <w:ind w:left="1641" w:hanging="360"/>
        <w:tabs>
          <w:tab w:val="num" w:pos="1641" w:leader="none"/>
        </w:tabs>
      </w:pPr>
      <w:rPr>
        <w:rFonts w:hint="default" w:ascii="Courier New" w:hAnsi="Courier New"/>
      </w:rPr>
    </w:lvl>
    <w:lvl w:ilvl="2">
      <w:start w:val="1"/>
      <w:numFmt w:val="bullet"/>
      <w:isLgl w:val="false"/>
      <w:suff w:val="tab"/>
      <w:lvlText w:val=""/>
      <w:lvlJc w:val="left"/>
      <w:pPr>
        <w:ind w:left="2361" w:hanging="360"/>
        <w:tabs>
          <w:tab w:val="num" w:pos="2361" w:leader="none"/>
        </w:tabs>
      </w:pPr>
      <w:rPr>
        <w:rFonts w:hint="default" w:ascii="Wingdings" w:hAnsi="Wingdings"/>
      </w:rPr>
    </w:lvl>
    <w:lvl w:ilvl="3">
      <w:start w:val="1"/>
      <w:numFmt w:val="bullet"/>
      <w:pStyle w:val="2271"/>
      <w:isLgl w:val="false"/>
      <w:suff w:val="tab"/>
      <w:lvlText w:val=""/>
      <w:lvlJc w:val="left"/>
      <w:pPr>
        <w:ind w:left="3081" w:hanging="360"/>
        <w:tabs>
          <w:tab w:val="num" w:pos="3081" w:leader="none"/>
        </w:tabs>
      </w:pPr>
      <w:rPr>
        <w:rFonts w:hint="default" w:ascii="Symbol" w:hAnsi="Symbol"/>
      </w:rPr>
    </w:lvl>
    <w:lvl w:ilvl="4">
      <w:start w:val="1"/>
      <w:numFmt w:val="bullet"/>
      <w:isLgl w:val="false"/>
      <w:suff w:val="tab"/>
      <w:lvlText w:val="o"/>
      <w:lvlJc w:val="left"/>
      <w:pPr>
        <w:ind w:left="3801" w:hanging="360"/>
        <w:tabs>
          <w:tab w:val="num" w:pos="3801" w:leader="none"/>
        </w:tabs>
      </w:pPr>
      <w:rPr>
        <w:rFonts w:hint="default" w:ascii="Courier New" w:hAnsi="Courier New"/>
      </w:rPr>
    </w:lvl>
    <w:lvl w:ilvl="5">
      <w:start w:val="1"/>
      <w:numFmt w:val="bullet"/>
      <w:isLgl w:val="false"/>
      <w:suff w:val="tab"/>
      <w:lvlText w:val=""/>
      <w:lvlJc w:val="left"/>
      <w:pPr>
        <w:ind w:left="4521" w:hanging="360"/>
        <w:tabs>
          <w:tab w:val="num" w:pos="4521" w:leader="none"/>
        </w:tabs>
      </w:pPr>
      <w:rPr>
        <w:rFonts w:hint="default" w:ascii="Wingdings" w:hAnsi="Wingdings"/>
      </w:rPr>
    </w:lvl>
    <w:lvl w:ilvl="6">
      <w:start w:val="1"/>
      <w:numFmt w:val="bullet"/>
      <w:isLgl w:val="false"/>
      <w:suff w:val="tab"/>
      <w:lvlText w:val=""/>
      <w:lvlJc w:val="left"/>
      <w:pPr>
        <w:ind w:left="5241" w:hanging="360"/>
        <w:tabs>
          <w:tab w:val="num" w:pos="5241" w:leader="none"/>
        </w:tabs>
      </w:pPr>
      <w:rPr>
        <w:rFonts w:hint="default" w:ascii="Symbol" w:hAnsi="Symbol"/>
      </w:rPr>
    </w:lvl>
    <w:lvl w:ilvl="7">
      <w:start w:val="1"/>
      <w:numFmt w:val="bullet"/>
      <w:isLgl w:val="false"/>
      <w:suff w:val="tab"/>
      <w:lvlText w:val="o"/>
      <w:lvlJc w:val="left"/>
      <w:pPr>
        <w:ind w:left="5961" w:hanging="360"/>
        <w:tabs>
          <w:tab w:val="num" w:pos="5961" w:leader="none"/>
        </w:tabs>
      </w:pPr>
      <w:rPr>
        <w:rFonts w:hint="default" w:ascii="Courier New" w:hAnsi="Courier New"/>
      </w:rPr>
    </w:lvl>
    <w:lvl w:ilvl="8">
      <w:start w:val="1"/>
      <w:numFmt w:val="bullet"/>
      <w:isLgl w:val="false"/>
      <w:suff w:val="tab"/>
      <w:lvlText w:val=""/>
      <w:lvlJc w:val="left"/>
      <w:pPr>
        <w:ind w:left="6681" w:hanging="360"/>
        <w:tabs>
          <w:tab w:val="num" w:pos="6681" w:leader="none"/>
        </w:tabs>
      </w:pPr>
      <w:rPr>
        <w:rFonts w:hint="default" w:ascii="Wingdings" w:hAnsi="Wingdings"/>
      </w:rPr>
    </w:lvl>
  </w:abstractNum>
  <w:abstractNum w:abstractNumId="111">
    <w:multiLevelType w:val="hybridMultilevel"/>
    <w:lvl w:ilvl="0">
      <w:start w:val="1"/>
      <w:numFmt w:val="none"/>
      <w:pStyle w:val="1294"/>
      <w:isLgl w:val="false"/>
      <w:suff w:val="tab"/>
      <w:lvlText w:val="Рисунок "/>
      <w:lvlJc w:val="left"/>
      <w:pPr>
        <w:ind w:left="0" w:firstLine="0"/>
        <w:tabs>
          <w:tab w:val="num" w:pos="0" w:leader="none"/>
        </w:tabs>
      </w:pPr>
      <w:rPr>
        <w:rFonts w:hint="default" w:ascii="Times New Roman" w:hAnsi="Times New Roman" w:cs="Times New Roman"/>
        <w:b/>
        <w:bCs w:val="0"/>
        <w:i w:val="0"/>
        <w:iCs w:val="0"/>
        <w:caps w:val="0"/>
        <w:smallCaps w:val="0"/>
        <w:strike w:val="0"/>
        <w:vanish w:val="0"/>
        <w:spacing w:val="0"/>
        <w:position w:val="0"/>
        <w:sz w:val="24"/>
        <w:u w:val="none"/>
        <w:vertAlign w:val="baseline"/>
      </w:r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112">
    <w:multiLevelType w:val="hybridMultilevel"/>
    <w:styleLink w:val="2242"/>
    <w:lvl w:ilvl="0">
      <w:start w:val="1"/>
      <w:numFmt w:val="bullet"/>
      <w:pStyle w:val="2242"/>
      <w:isLgl w:val="false"/>
      <w:suff w:val="tab"/>
      <w:lvlText w:val="-"/>
      <w:lvlJc w:val="left"/>
      <w:pPr>
        <w:ind w:left="3763" w:hanging="360"/>
      </w:pPr>
      <w:rPr>
        <w:rFonts w:hint="default"/>
        <w:color w:val="auto"/>
      </w:rPr>
    </w:lvl>
    <w:lvl w:ilvl="1">
      <w:start w:val="1"/>
      <w:numFmt w:val="bullet"/>
      <w:isLgl w:val="false"/>
      <w:suff w:val="tab"/>
      <w:lvlText w:val="o"/>
      <w:lvlJc w:val="left"/>
      <w:pPr>
        <w:ind w:left="4483" w:hanging="360"/>
      </w:pPr>
      <w:rPr>
        <w:rFonts w:hint="default" w:ascii="Courier New" w:hAnsi="Courier New" w:cs="Courier New"/>
      </w:rPr>
    </w:lvl>
    <w:lvl w:ilvl="2">
      <w:start w:val="1"/>
      <w:numFmt w:val="bullet"/>
      <w:isLgl w:val="false"/>
      <w:suff w:val="tab"/>
      <w:lvlText w:val=""/>
      <w:lvlJc w:val="left"/>
      <w:pPr>
        <w:ind w:left="5203" w:hanging="360"/>
      </w:pPr>
      <w:rPr>
        <w:rFonts w:hint="default" w:ascii="Wingdings" w:hAnsi="Wingdings"/>
      </w:rPr>
    </w:lvl>
    <w:lvl w:ilvl="3">
      <w:start w:val="1"/>
      <w:numFmt w:val="bullet"/>
      <w:isLgl w:val="false"/>
      <w:suff w:val="tab"/>
      <w:lvlText w:val=""/>
      <w:lvlJc w:val="left"/>
      <w:pPr>
        <w:ind w:left="5923" w:hanging="360"/>
      </w:pPr>
      <w:rPr>
        <w:rFonts w:hint="default" w:ascii="Symbol" w:hAnsi="Symbol"/>
      </w:rPr>
    </w:lvl>
    <w:lvl w:ilvl="4">
      <w:start w:val="1"/>
      <w:numFmt w:val="bullet"/>
      <w:isLgl w:val="false"/>
      <w:suff w:val="tab"/>
      <w:lvlText w:val="o"/>
      <w:lvlJc w:val="left"/>
      <w:pPr>
        <w:ind w:left="6643" w:hanging="360"/>
      </w:pPr>
      <w:rPr>
        <w:rFonts w:hint="default" w:ascii="Courier New" w:hAnsi="Courier New" w:cs="Courier New"/>
      </w:rPr>
    </w:lvl>
    <w:lvl w:ilvl="5">
      <w:start w:val="1"/>
      <w:numFmt w:val="bullet"/>
      <w:isLgl w:val="false"/>
      <w:suff w:val="tab"/>
      <w:lvlText w:val=""/>
      <w:lvlJc w:val="left"/>
      <w:pPr>
        <w:ind w:left="7363" w:hanging="360"/>
      </w:pPr>
      <w:rPr>
        <w:rFonts w:hint="default" w:ascii="Wingdings" w:hAnsi="Wingdings"/>
      </w:rPr>
    </w:lvl>
    <w:lvl w:ilvl="6">
      <w:start w:val="1"/>
      <w:numFmt w:val="bullet"/>
      <w:isLgl w:val="false"/>
      <w:suff w:val="tab"/>
      <w:lvlText w:val=""/>
      <w:lvlJc w:val="left"/>
      <w:pPr>
        <w:ind w:left="8083" w:hanging="360"/>
      </w:pPr>
      <w:rPr>
        <w:rFonts w:hint="default" w:ascii="Symbol" w:hAnsi="Symbol"/>
      </w:rPr>
    </w:lvl>
    <w:lvl w:ilvl="7">
      <w:start w:val="1"/>
      <w:numFmt w:val="bullet"/>
      <w:isLgl w:val="false"/>
      <w:suff w:val="tab"/>
      <w:lvlText w:val="o"/>
      <w:lvlJc w:val="left"/>
      <w:pPr>
        <w:ind w:left="8803" w:hanging="360"/>
      </w:pPr>
      <w:rPr>
        <w:rFonts w:hint="default" w:ascii="Courier New" w:hAnsi="Courier New" w:cs="Courier New"/>
      </w:rPr>
    </w:lvl>
    <w:lvl w:ilvl="8">
      <w:start w:val="1"/>
      <w:numFmt w:val="bullet"/>
      <w:isLgl w:val="false"/>
      <w:suff w:val="tab"/>
      <w:lvlText w:val=""/>
      <w:lvlJc w:val="left"/>
      <w:pPr>
        <w:ind w:left="9523" w:hanging="360"/>
      </w:pPr>
      <w:rPr>
        <w:rFonts w:hint="default" w:ascii="Wingdings" w:hAnsi="Wingdings"/>
      </w:rPr>
    </w:lvl>
  </w:abstractNum>
  <w:abstractNum w:abstractNumId="113">
    <w:multiLevelType w:val="hybridMultilevel"/>
    <w:lvl w:ilvl="0">
      <w:start w:val="1"/>
      <w:numFmt w:val="decimal"/>
      <w:pStyle w:val="1838"/>
      <w:isLgl w:val="false"/>
      <w:suff w:val="tab"/>
      <w:lvlText w:val="%1."/>
      <w:lvlJc w:val="left"/>
      <w:pPr>
        <w:ind w:left="1080" w:hanging="360"/>
        <w:tabs>
          <w:tab w:val="num" w:pos="1080" w:leader="none"/>
        </w:tabs>
      </w:pPr>
      <w:rPr>
        <w:rFonts w:hint="default" w:cs="Times New Roman"/>
      </w:rPr>
    </w:lvl>
    <w:lvl w:ilvl="1">
      <w:start w:val="1"/>
      <w:numFmt w:val="decimal"/>
      <w:pStyle w:val="1837"/>
      <w:isLgl w:val="false"/>
      <w:suff w:val="tab"/>
      <w:lvlText w:val="%1.%2."/>
      <w:lvlJc w:val="left"/>
      <w:pPr>
        <w:ind w:left="634" w:hanging="454"/>
        <w:tabs>
          <w:tab w:val="num" w:pos="861" w:leader="none"/>
        </w:tabs>
      </w:pPr>
      <w:rPr>
        <w:rFonts w:hint="default" w:cs="Times New Roman"/>
      </w:rPr>
    </w:lvl>
    <w:lvl w:ilvl="2">
      <w:start w:val="1"/>
      <w:numFmt w:val="decimal"/>
      <w:isLgl w:val="false"/>
      <w:suff w:val="tab"/>
      <w:lvlText w:val="%1.%2.%3."/>
      <w:lvlJc w:val="left"/>
      <w:pPr>
        <w:ind w:left="1404" w:hanging="504"/>
        <w:tabs>
          <w:tab w:val="num" w:pos="1620" w:leader="none"/>
        </w:tabs>
      </w:pPr>
      <w:rPr>
        <w:rFonts w:hint="default" w:cs="Times New Roman"/>
      </w:rPr>
    </w:lvl>
    <w:lvl w:ilvl="3">
      <w:start w:val="1"/>
      <w:numFmt w:val="decimal"/>
      <w:isLgl w:val="false"/>
      <w:suff w:val="tab"/>
      <w:lvlText w:val="%1.%2.%3.%4."/>
      <w:lvlJc w:val="left"/>
      <w:pPr>
        <w:ind w:left="1908" w:hanging="648"/>
        <w:tabs>
          <w:tab w:val="num" w:pos="2340" w:leader="none"/>
        </w:tabs>
      </w:pPr>
      <w:rPr>
        <w:rFonts w:hint="default" w:cs="Times New Roman"/>
      </w:rPr>
    </w:lvl>
    <w:lvl w:ilvl="4">
      <w:start w:val="1"/>
      <w:numFmt w:val="decimal"/>
      <w:isLgl w:val="false"/>
      <w:suff w:val="tab"/>
      <w:lvlText w:val="%1.%2.%3.%4.%5."/>
      <w:lvlJc w:val="left"/>
      <w:pPr>
        <w:ind w:left="2412" w:hanging="792"/>
        <w:tabs>
          <w:tab w:val="num" w:pos="2700" w:leader="none"/>
        </w:tabs>
      </w:pPr>
      <w:rPr>
        <w:rFonts w:hint="default" w:cs="Times New Roman"/>
      </w:rPr>
    </w:lvl>
    <w:lvl w:ilvl="5">
      <w:start w:val="1"/>
      <w:numFmt w:val="decimal"/>
      <w:isLgl w:val="false"/>
      <w:suff w:val="tab"/>
      <w:lvlText w:val="%1.%2.%3.%4.%5.%6."/>
      <w:lvlJc w:val="left"/>
      <w:pPr>
        <w:ind w:left="2916" w:hanging="936"/>
        <w:tabs>
          <w:tab w:val="num" w:pos="3420" w:leader="none"/>
        </w:tabs>
      </w:pPr>
      <w:rPr>
        <w:rFonts w:hint="default" w:cs="Times New Roman"/>
      </w:rPr>
    </w:lvl>
    <w:lvl w:ilvl="6">
      <w:start w:val="1"/>
      <w:numFmt w:val="decimal"/>
      <w:isLgl w:val="false"/>
      <w:suff w:val="tab"/>
      <w:lvlText w:val="%1.%2.%3.%4.%5.%6.%7."/>
      <w:lvlJc w:val="left"/>
      <w:pPr>
        <w:ind w:left="3420" w:hanging="1080"/>
        <w:tabs>
          <w:tab w:val="num" w:pos="3780" w:leader="none"/>
        </w:tabs>
      </w:pPr>
      <w:rPr>
        <w:rFonts w:hint="default" w:cs="Times New Roman"/>
      </w:rPr>
    </w:lvl>
    <w:lvl w:ilvl="7">
      <w:start w:val="1"/>
      <w:numFmt w:val="decimal"/>
      <w:isLgl w:val="false"/>
      <w:suff w:val="tab"/>
      <w:lvlText w:val="%1.%2.%3.%4.%5.%6.%7.%8."/>
      <w:lvlJc w:val="left"/>
      <w:pPr>
        <w:ind w:left="3924" w:hanging="1224"/>
        <w:tabs>
          <w:tab w:val="num" w:pos="4500" w:leader="none"/>
        </w:tabs>
      </w:pPr>
      <w:rPr>
        <w:rFonts w:hint="default" w:cs="Times New Roman"/>
      </w:rPr>
    </w:lvl>
    <w:lvl w:ilvl="8">
      <w:start w:val="1"/>
      <w:numFmt w:val="decimal"/>
      <w:isLgl w:val="false"/>
      <w:suff w:val="tab"/>
      <w:lvlText w:val="%1.%2.%3.%4.%5.%6.%7.%8.%9."/>
      <w:lvlJc w:val="left"/>
      <w:pPr>
        <w:ind w:left="4500" w:hanging="1440"/>
        <w:tabs>
          <w:tab w:val="num" w:pos="5220" w:leader="none"/>
        </w:tabs>
      </w:pPr>
      <w:rPr>
        <w:rFonts w:hint="default" w:cs="Times New Roman"/>
      </w:rPr>
    </w:lvl>
  </w:abstractNum>
  <w:abstractNum w:abstractNumId="114">
    <w:multiLevelType w:val="hybridMultilevel"/>
    <w:lvl w:ilvl="0">
      <w:start w:val="1"/>
      <w:numFmt w:val="russianUpper"/>
      <w:pStyle w:val="1619"/>
      <w:isLgl w:val="false"/>
      <w:suff w:val="tab"/>
      <w:lvlText w:val="Приложение %1"/>
      <w:lvlJc w:val="left"/>
      <w:pPr>
        <w:ind w:left="0" w:firstLine="397"/>
      </w:pPr>
      <w:rPr>
        <w:rFonts w:hint="default" w:ascii="Times New Roman" w:hAnsi="Times New Roman" w:cs="Times New Roman"/>
        <w:b/>
        <w:bCs w:val="0"/>
        <w:i w:val="0"/>
        <w:iCs w:val="0"/>
        <w:caps w:val="0"/>
        <w:smallCaps w:val="0"/>
        <w:strike w:val="0"/>
        <w:vanish w:val="0"/>
        <w:color w:val="000000"/>
        <w:spacing w:val="0"/>
        <w:position w:val="0"/>
        <w:sz w:val="32"/>
        <w:u w:val="none"/>
        <w:vertAlign w:val="baseline"/>
      </w:rPr>
    </w:lvl>
    <w:lvl w:ilvl="1">
      <w:start w:val="1"/>
      <w:numFmt w:val="decimal"/>
      <w:pStyle w:val="1620"/>
      <w:isLgl w:val="false"/>
      <w:suff w:val="tab"/>
      <w:lvlText w:val="%1.%2"/>
      <w:lvlJc w:val="left"/>
      <w:pPr>
        <w:ind w:left="709" w:firstLine="0"/>
      </w:pPr>
      <w:rPr>
        <w:rFonts w:hint="default" w:ascii="Times New Roman" w:hAnsi="Times New Roman"/>
        <w:b/>
        <w:i w:val="0"/>
        <w:sz w:val="28"/>
      </w:rPr>
    </w:lvl>
    <w:lvl w:ilvl="2">
      <w:start w:val="1"/>
      <w:numFmt w:val="decimal"/>
      <w:pStyle w:val="1621"/>
      <w:isLgl w:val="false"/>
      <w:suff w:val="tab"/>
      <w:lvlText w:val="%1.%2.%3"/>
      <w:lvlJc w:val="left"/>
      <w:pPr>
        <w:ind w:left="709" w:firstLine="0"/>
      </w:pPr>
      <w:rPr>
        <w:rFonts w:hint="default" w:ascii="Times New Roman" w:hAnsi="Times New Roman"/>
        <w:b/>
        <w:i w:val="0"/>
        <w:caps w:val="0"/>
        <w:strike w:val="0"/>
        <w:vanish w:val="0"/>
        <w:color w:val="000000"/>
        <w:sz w:val="24"/>
        <w:u w:val="none"/>
        <w:vertAlign w:val="baseline"/>
      </w:rPr>
    </w:lvl>
    <w:lvl w:ilvl="3">
      <w:start w:val="1"/>
      <w:numFmt w:val="decimal"/>
      <w:pStyle w:val="1622"/>
      <w:isLgl w:val="false"/>
      <w:suff w:val="tab"/>
      <w:lvlText w:val="%1.%2.%3.%4"/>
      <w:lvlJc w:val="left"/>
      <w:pPr>
        <w:ind w:left="709" w:firstLine="0"/>
      </w:pPr>
      <w:rPr>
        <w:rFonts w:hint="default" w:ascii="Times New Roman" w:hAnsi="Times New Roman"/>
        <w:b/>
        <w:i w:val="0"/>
        <w:caps w:val="0"/>
        <w:strike w:val="0"/>
        <w:vanish w:val="0"/>
        <w:color w:val="000000"/>
        <w:sz w:val="24"/>
        <w:u w:val="none"/>
        <w:vertAlign w:val="baseline"/>
      </w:rPr>
    </w:lvl>
    <w:lvl w:ilvl="4">
      <w:start w:val="1"/>
      <w:numFmt w:val="decimal"/>
      <w:pStyle w:val="1623"/>
      <w:isLgl w:val="false"/>
      <w:suff w:val="tab"/>
      <w:lvlText w:val="%1.%2.%3.%4.%5"/>
      <w:lvlJc w:val="left"/>
      <w:pPr>
        <w:ind w:left="709" w:firstLine="0"/>
      </w:pPr>
      <w:rPr>
        <w:rFonts w:hint="default"/>
        <w:b/>
        <w:i w:val="0"/>
        <w:caps w:val="0"/>
        <w:strike w:val="0"/>
        <w:vanish w:val="0"/>
        <w:color w:val="000000"/>
        <w:sz w:val="24"/>
        <w:u w:val="none"/>
        <w:vertAlign w:val="baseline"/>
      </w:rPr>
    </w:lvl>
    <w:lvl w:ilvl="5">
      <w:start w:val="1"/>
      <w:numFmt w:val="decimal"/>
      <w:pStyle w:val="1624"/>
      <w:isLgl w:val="false"/>
      <w:suff w:val="tab"/>
      <w:lvlText w:val="%1.%2.%3.%4.%5.%6"/>
      <w:lvlJc w:val="left"/>
      <w:pPr>
        <w:ind w:left="709" w:firstLine="0"/>
      </w:pPr>
      <w:rPr>
        <w:rFonts w:hint="default" w:ascii="Times New Roman" w:hAnsi="Times New Roman"/>
        <w:b/>
        <w:i w:val="0"/>
        <w:caps w:val="0"/>
        <w:strike w:val="0"/>
        <w:vanish w:val="0"/>
        <w:color w:val="000000"/>
        <w:sz w:val="24"/>
        <w:u w:val="none"/>
        <w:vertAlign w:val="baseline"/>
      </w:rPr>
    </w:lvl>
    <w:lvl w:ilvl="6">
      <w:start w:val="1"/>
      <w:numFmt w:val="none"/>
      <w:isLgl w:val="false"/>
      <w:suff w:val="tab"/>
      <w:lvlText w:val=""/>
      <w:lvlJc w:val="left"/>
      <w:pPr>
        <w:ind w:left="2520" w:hanging="360"/>
      </w:pPr>
      <w:rPr>
        <w:rFonts w:hint="default"/>
      </w:rPr>
    </w:lvl>
    <w:lvl w:ilvl="7">
      <w:start w:val="1"/>
      <w:numFmt w:val="none"/>
      <w:isLgl w:val="false"/>
      <w:suff w:val="tab"/>
      <w:lvlText w:val=""/>
      <w:lvlJc w:val="left"/>
      <w:pPr>
        <w:ind w:left="2880" w:hanging="360"/>
      </w:pPr>
      <w:rPr>
        <w:rFonts w:hint="default"/>
      </w:rPr>
    </w:lvl>
    <w:lvl w:ilvl="8">
      <w:start w:val="1"/>
      <w:numFmt w:val="none"/>
      <w:isLgl w:val="false"/>
      <w:suff w:val="tab"/>
      <w:lvlText w:val=""/>
      <w:lvlJc w:val="left"/>
      <w:pPr>
        <w:ind w:left="3240" w:hanging="360"/>
      </w:pPr>
      <w:rPr>
        <w:rFonts w:hint="default"/>
      </w:rPr>
    </w:lvl>
  </w:abstractNum>
  <w:abstractNum w:abstractNumId="115">
    <w:multiLevelType w:val="hybridMultilevel"/>
    <w:lvl w:ilvl="0">
      <w:start w:val="1"/>
      <w:numFmt w:val="decimal"/>
      <w:pStyle w:val="1281"/>
      <w:isLgl w:val="false"/>
      <w:suff w:val="tab"/>
      <w:lvlText w:val="%1."/>
      <w:lvlJc w:val="left"/>
      <w:pPr>
        <w:ind w:left="432" w:hanging="432"/>
        <w:tabs>
          <w:tab w:val="num" w:pos="432" w:leader="none"/>
        </w:tabs>
      </w:pPr>
      <w:rPr>
        <w:rFonts w:hint="default"/>
      </w:rPr>
    </w:lvl>
    <w:lvl w:ilvl="1">
      <w:start w:val="1"/>
      <w:numFmt w:val="decimal"/>
      <w:pStyle w:val="1282"/>
      <w:isLgl w:val="false"/>
      <w:suff w:val="tab"/>
      <w:lvlText w:val="%1.%2."/>
      <w:lvlJc w:val="left"/>
      <w:pPr>
        <w:ind w:left="576" w:hanging="576"/>
        <w:tabs>
          <w:tab w:val="num" w:pos="576" w:leader="none"/>
        </w:tabs>
      </w:pPr>
      <w:rPr>
        <w:rFonts w:hint="default"/>
      </w:rPr>
    </w:lvl>
    <w:lvl w:ilvl="2">
      <w:start w:val="1"/>
      <w:numFmt w:val="decimal"/>
      <w:pStyle w:val="1283"/>
      <w:isLgl w:val="false"/>
      <w:suff w:val="tab"/>
      <w:lvlText w:val="%1.%2.%3."/>
      <w:lvlJc w:val="left"/>
      <w:pPr>
        <w:ind w:left="720" w:hanging="720"/>
        <w:tabs>
          <w:tab w:val="num" w:pos="720" w:leader="none"/>
        </w:tabs>
      </w:pPr>
      <w:rPr>
        <w:rFonts w:hint="default"/>
      </w:rPr>
    </w:lvl>
    <w:lvl w:ilvl="3">
      <w:start w:val="1"/>
      <w:numFmt w:val="decimal"/>
      <w:pStyle w:val="1284"/>
      <w:isLgl w:val="false"/>
      <w:suff w:val="tab"/>
      <w:lvlText w:val="%1.%2.%3.%4."/>
      <w:lvlJc w:val="left"/>
      <w:pPr>
        <w:ind w:left="864" w:hanging="864"/>
        <w:tabs>
          <w:tab w:val="num" w:pos="864" w:leader="none"/>
        </w:tabs>
      </w:pPr>
      <w:rPr>
        <w:rFonts w:hint="default"/>
      </w:rPr>
    </w:lvl>
    <w:lvl w:ilvl="4">
      <w:start w:val="1"/>
      <w:numFmt w:val="decimal"/>
      <w:pStyle w:val="1285"/>
      <w:isLgl w:val="false"/>
      <w:suff w:val="tab"/>
      <w:lvlText w:val="%1.%2.%3.%4.%5."/>
      <w:lvlJc w:val="left"/>
      <w:pPr>
        <w:ind w:left="1008" w:hanging="1008"/>
        <w:tabs>
          <w:tab w:val="num" w:pos="1008" w:leader="none"/>
        </w:tabs>
      </w:pPr>
      <w:rPr>
        <w:rFonts w:hint="default"/>
      </w:rPr>
    </w:lvl>
    <w:lvl w:ilvl="5">
      <w:start w:val="1"/>
      <w:numFmt w:val="decimal"/>
      <w:pStyle w:val="1286"/>
      <w:isLgl w:val="false"/>
      <w:suff w:val="tab"/>
      <w:lvlText w:val="%1.%2.%3.%4.%5.%6."/>
      <w:lvlJc w:val="left"/>
      <w:pPr>
        <w:ind w:left="1152" w:hanging="1152"/>
        <w:tabs>
          <w:tab w:val="num" w:pos="1152" w:leader="none"/>
        </w:tabs>
      </w:pPr>
      <w:rPr>
        <w:rFonts w:hint="default"/>
      </w:rPr>
    </w:lvl>
    <w:lvl w:ilvl="6">
      <w:start w:val="1"/>
      <w:numFmt w:val="decimal"/>
      <w:pStyle w:val="1287"/>
      <w:isLgl w:val="false"/>
      <w:suff w:val="tab"/>
      <w:lvlText w:val="%1.%2.%3.%4.%5.%6.%7"/>
      <w:lvlJc w:val="left"/>
      <w:pPr>
        <w:ind w:left="1296" w:hanging="1296"/>
        <w:tabs>
          <w:tab w:val="num" w:pos="1296" w:leader="none"/>
        </w:tabs>
      </w:pPr>
      <w:rPr>
        <w:rFonts w:hint="default"/>
      </w:rPr>
    </w:lvl>
    <w:lvl w:ilvl="7">
      <w:start w:val="1"/>
      <w:numFmt w:val="decimal"/>
      <w:pStyle w:val="1288"/>
      <w:isLgl w:val="false"/>
      <w:suff w:val="tab"/>
      <w:lvlText w:val="%1.%2.%3.%4.%5.%6.%7.%8"/>
      <w:lvlJc w:val="left"/>
      <w:pPr>
        <w:ind w:left="1440" w:hanging="1440"/>
        <w:tabs>
          <w:tab w:val="num" w:pos="1440" w:leader="none"/>
        </w:tabs>
      </w:pPr>
      <w:rPr>
        <w:rFonts w:hint="default"/>
      </w:rPr>
    </w:lvl>
    <w:lvl w:ilvl="8">
      <w:start w:val="1"/>
      <w:numFmt w:val="decimal"/>
      <w:isLgl w:val="false"/>
      <w:suff w:val="tab"/>
      <w:lvlText w:val="%1.%2.%3.%4.%5.%6.%7.%8.%9"/>
      <w:lvlJc w:val="left"/>
      <w:pPr>
        <w:ind w:left="1584" w:hanging="1584"/>
        <w:tabs>
          <w:tab w:val="num" w:pos="1584" w:leader="none"/>
        </w:tabs>
      </w:pPr>
      <w:rPr>
        <w:rFonts w:hint="default"/>
      </w:rPr>
    </w:lvl>
  </w:abstractNum>
  <w:abstractNum w:abstractNumId="116">
    <w:multiLevelType w:val="hybridMultilevel"/>
    <w:lvl w:ilvl="0">
      <w:start w:val="1"/>
      <w:numFmt w:val="decimal"/>
      <w:isLgl w:val="false"/>
      <w:suff w:val="tab"/>
      <w:lvlText w:val="%1)"/>
      <w:lvlJc w:val="left"/>
      <w:pPr>
        <w:ind w:left="360" w:hanging="360"/>
      </w:pPr>
    </w:lvl>
    <w:lvl w:ilvl="1">
      <w:start w:val="1"/>
      <w:numFmt w:val="lowerLetter"/>
      <w:isLgl w:val="false"/>
      <w:suff w:val="tab"/>
      <w:lvlText w:val="%2)"/>
      <w:lvlJc w:val="left"/>
      <w:pPr>
        <w:ind w:left="720" w:hanging="360"/>
      </w:pPr>
    </w:lvl>
    <w:lvl w:ilvl="2">
      <w:start w:val="1"/>
      <w:numFmt w:val="lowerRoman"/>
      <w:isLgl w:val="false"/>
      <w:suff w:val="tab"/>
      <w:lvlText w:val="%3)"/>
      <w:lvlJc w:val="left"/>
      <w:pPr>
        <w:ind w:left="1080" w:hanging="360"/>
      </w:pPr>
    </w:lvl>
    <w:lvl w:ilvl="3">
      <w:start w:val="1"/>
      <w:numFmt w:val="decimal"/>
      <w:isLgl w:val="false"/>
      <w:suff w:val="tab"/>
      <w:lvlText w:val="(%4)"/>
      <w:lvlJc w:val="left"/>
      <w:pPr>
        <w:ind w:left="1440" w:hanging="360"/>
      </w:pPr>
    </w:lvl>
    <w:lvl w:ilvl="4">
      <w:start w:val="1"/>
      <w:numFmt w:val="lowerLetter"/>
      <w:isLgl w:val="false"/>
      <w:suff w:val="tab"/>
      <w:lvlText w:val="(%5)"/>
      <w:lvlJc w:val="left"/>
      <w:pPr>
        <w:ind w:left="1800" w:hanging="360"/>
      </w:pPr>
    </w:lvl>
    <w:lvl w:ilvl="5">
      <w:start w:val="1"/>
      <w:numFmt w:val="lowerRoman"/>
      <w:isLgl w:val="false"/>
      <w:suff w:val="tab"/>
      <w:lvlText w:val="(%6)"/>
      <w:lvlJc w:val="left"/>
      <w:pPr>
        <w:ind w:left="2160" w:hanging="360"/>
      </w:pPr>
    </w:lvl>
    <w:lvl w:ilvl="6">
      <w:start w:val="1"/>
      <w:numFmt w:val="decimal"/>
      <w:isLgl w:val="false"/>
      <w:suff w:val="tab"/>
      <w:lvlText w:val="%7."/>
      <w:lvlJc w:val="left"/>
      <w:pPr>
        <w:ind w:left="2520" w:hanging="360"/>
      </w:pPr>
    </w:lvl>
    <w:lvl w:ilvl="7">
      <w:start w:val="1"/>
      <w:numFmt w:val="lowerLetter"/>
      <w:isLgl w:val="false"/>
      <w:suff w:val="tab"/>
      <w:lvlText w:val="%8."/>
      <w:lvlJc w:val="left"/>
      <w:pPr>
        <w:ind w:left="2880" w:hanging="360"/>
      </w:pPr>
    </w:lvl>
    <w:lvl w:ilvl="8">
      <w:start w:val="1"/>
      <w:numFmt w:val="lowerRoman"/>
      <w:isLgl w:val="false"/>
      <w:suff w:val="tab"/>
      <w:lvlText w:val="%9."/>
      <w:lvlJc w:val="left"/>
      <w:pPr>
        <w:ind w:left="3240" w:hanging="360"/>
      </w:pPr>
    </w:lvl>
  </w:abstractNum>
  <w:abstractNum w:abstractNumId="117">
    <w:multiLevelType w:val="hybridMultilevel"/>
    <w:lvl w:ilvl="0">
      <w:start w:val="1"/>
      <w:numFmt w:val="russianLower"/>
      <w:pStyle w:val="1843"/>
      <w:isLgl w:val="false"/>
      <w:suff w:val="tab"/>
      <w:lvlText w:val="%1."/>
      <w:lvlJc w:val="left"/>
      <w:pPr>
        <w:ind w:left="1134" w:hanging="283"/>
        <w:tabs>
          <w:tab w:val="num" w:pos="567" w:leader="none"/>
        </w:tabs>
      </w:pPr>
      <w:rPr>
        <w:rFonts w:hint="default" w:cs="Times New Roman"/>
      </w:rPr>
    </w:lvl>
    <w:lvl w:ilvl="1">
      <w:start w:val="1"/>
      <w:numFmt w:val="lowerLetter"/>
      <w:isLgl w:val="false"/>
      <w:suff w:val="tab"/>
      <w:lvlText w:val="%2."/>
      <w:lvlJc w:val="left"/>
      <w:pPr>
        <w:ind w:left="1440" w:hanging="360"/>
        <w:tabs>
          <w:tab w:val="num" w:pos="1440" w:leader="none"/>
        </w:tabs>
      </w:pPr>
      <w:rPr>
        <w:rFonts w:cs="Times New Roman"/>
      </w:rPr>
    </w:lvl>
    <w:lvl w:ilvl="2">
      <w:start w:val="1"/>
      <w:numFmt w:val="lowerRoman"/>
      <w:isLgl w:val="false"/>
      <w:suff w:val="tab"/>
      <w:lvlText w:val="%3."/>
      <w:lvlJc w:val="right"/>
      <w:pPr>
        <w:ind w:left="2160" w:hanging="180"/>
        <w:tabs>
          <w:tab w:val="num" w:pos="2160" w:leader="none"/>
        </w:tabs>
      </w:pPr>
      <w:rPr>
        <w:rFonts w:cs="Times New Roman"/>
      </w:rPr>
    </w:lvl>
    <w:lvl w:ilvl="3">
      <w:start w:val="1"/>
      <w:numFmt w:val="decimal"/>
      <w:isLgl w:val="false"/>
      <w:suff w:val="tab"/>
      <w:lvlText w:val="%4."/>
      <w:lvlJc w:val="left"/>
      <w:pPr>
        <w:ind w:left="2880" w:hanging="360"/>
        <w:tabs>
          <w:tab w:val="num" w:pos="2880" w:leader="none"/>
        </w:tabs>
      </w:pPr>
      <w:rPr>
        <w:rFonts w:cs="Times New Roman"/>
      </w:rPr>
    </w:lvl>
    <w:lvl w:ilvl="4">
      <w:start w:val="1"/>
      <w:numFmt w:val="lowerLetter"/>
      <w:isLgl w:val="false"/>
      <w:suff w:val="tab"/>
      <w:lvlText w:val="%5."/>
      <w:lvlJc w:val="left"/>
      <w:pPr>
        <w:ind w:left="3600" w:hanging="360"/>
        <w:tabs>
          <w:tab w:val="num" w:pos="3600" w:leader="none"/>
        </w:tabs>
      </w:pPr>
      <w:rPr>
        <w:rFonts w:cs="Times New Roman"/>
      </w:rPr>
    </w:lvl>
    <w:lvl w:ilvl="5">
      <w:start w:val="1"/>
      <w:numFmt w:val="lowerRoman"/>
      <w:isLgl w:val="false"/>
      <w:suff w:val="tab"/>
      <w:lvlText w:val="%6."/>
      <w:lvlJc w:val="right"/>
      <w:pPr>
        <w:ind w:left="4320" w:hanging="180"/>
        <w:tabs>
          <w:tab w:val="num" w:pos="4320" w:leader="none"/>
        </w:tabs>
      </w:pPr>
      <w:rPr>
        <w:rFonts w:cs="Times New Roman"/>
      </w:rPr>
    </w:lvl>
    <w:lvl w:ilvl="6">
      <w:start w:val="1"/>
      <w:numFmt w:val="decimal"/>
      <w:isLgl w:val="false"/>
      <w:suff w:val="tab"/>
      <w:lvlText w:val="%7."/>
      <w:lvlJc w:val="left"/>
      <w:pPr>
        <w:ind w:left="5040" w:hanging="360"/>
        <w:tabs>
          <w:tab w:val="num" w:pos="5040" w:leader="none"/>
        </w:tabs>
      </w:pPr>
      <w:rPr>
        <w:rFonts w:cs="Times New Roman"/>
      </w:rPr>
    </w:lvl>
    <w:lvl w:ilvl="7">
      <w:start w:val="1"/>
      <w:numFmt w:val="lowerLetter"/>
      <w:isLgl w:val="false"/>
      <w:suff w:val="tab"/>
      <w:lvlText w:val="%8."/>
      <w:lvlJc w:val="left"/>
      <w:pPr>
        <w:ind w:left="5760" w:hanging="360"/>
        <w:tabs>
          <w:tab w:val="num" w:pos="5760" w:leader="none"/>
        </w:tabs>
      </w:pPr>
      <w:rPr>
        <w:rFonts w:cs="Times New Roman"/>
      </w:rPr>
    </w:lvl>
    <w:lvl w:ilvl="8">
      <w:start w:val="1"/>
      <w:numFmt w:val="lowerRoman"/>
      <w:isLgl w:val="false"/>
      <w:suff w:val="tab"/>
      <w:lvlText w:val="%9."/>
      <w:lvlJc w:val="right"/>
      <w:pPr>
        <w:ind w:left="6480" w:hanging="180"/>
        <w:tabs>
          <w:tab w:val="num" w:pos="6480" w:leader="none"/>
        </w:tabs>
      </w:pPr>
      <w:rPr>
        <w:rFonts w:cs="Times New Roman"/>
      </w:rPr>
    </w:lvl>
  </w:abstractNum>
  <w:abstractNum w:abstractNumId="118">
    <w:multiLevelType w:val="hybridMultilevel"/>
    <w:lvl w:ilvl="0">
      <w:start w:val="1"/>
      <w:numFmt w:val="decimal"/>
      <w:pStyle w:val="1730"/>
      <w:isLgl w:val="false"/>
      <w:suff w:val="tab"/>
      <w:lvlText w:val="%1."/>
      <w:lvlJc w:val="left"/>
      <w:pPr>
        <w:ind w:left="1701" w:hanging="567"/>
        <w:tabs>
          <w:tab w:val="num" w:pos="1701" w:leader="none"/>
        </w:tabs>
      </w:pPr>
      <w:rPr>
        <w:rFonts w:hint="default"/>
      </w:r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119">
    <w:multiLevelType w:val="hybridMultilevel"/>
    <w:lvl w:ilvl="0">
      <w:start w:val="1"/>
      <w:numFmt w:val="bullet"/>
      <w:pStyle w:val="2188"/>
      <w:isLgl w:val="false"/>
      <w:suff w:val="tab"/>
      <w:lvlText w:val=""/>
      <w:lvlJc w:val="left"/>
      <w:pPr>
        <w:ind w:left="0" w:firstLine="0"/>
        <w:tabs>
          <w:tab w:val="num" w:pos="0" w:leader="none"/>
        </w:tabs>
      </w:pPr>
      <w:rPr>
        <w:rFonts w:hint="default" w:ascii="Symbol" w:hAnsi="Symbol"/>
      </w:rPr>
    </w:lvl>
    <w:lvl w:ilvl="1">
      <w:start w:val="1"/>
      <w:numFmt w:val="bullet"/>
      <w:isLgl w:val="false"/>
      <w:suff w:val="tab"/>
      <w:lvlText w:val="o"/>
      <w:lvlJc w:val="left"/>
      <w:pPr>
        <w:ind w:left="1440" w:hanging="360"/>
        <w:tabs>
          <w:tab w:val="num" w:pos="1440" w:leader="none"/>
        </w:tabs>
      </w:pPr>
      <w:rPr>
        <w:rFonts w:hint="default" w:ascii="Courier New" w:hAnsi="Courier New" w:cs="Courier New"/>
      </w:rPr>
    </w:lvl>
    <w:lvl w:ilvl="2">
      <w:start w:val="1"/>
      <w:numFmt w:val="bullet"/>
      <w:isLgl w:val="false"/>
      <w:suff w:val="tab"/>
      <w:lvlText w:val=""/>
      <w:lvlJc w:val="left"/>
      <w:pPr>
        <w:ind w:left="2160" w:hanging="360"/>
        <w:tabs>
          <w:tab w:val="num" w:pos="2160" w:leader="none"/>
        </w:tabs>
      </w:pPr>
      <w:rPr>
        <w:rFonts w:hint="default" w:ascii="Wingdings" w:hAnsi="Wingdings"/>
      </w:rPr>
    </w:lvl>
    <w:lvl w:ilvl="3">
      <w:start w:val="1"/>
      <w:numFmt w:val="bullet"/>
      <w:isLgl w:val="false"/>
      <w:suff w:val="tab"/>
      <w:lvlText w:val=""/>
      <w:lvlJc w:val="left"/>
      <w:pPr>
        <w:ind w:left="2880" w:hanging="360"/>
        <w:tabs>
          <w:tab w:val="num" w:pos="2880" w:leader="none"/>
        </w:tabs>
      </w:pPr>
      <w:rPr>
        <w:rFonts w:hint="default" w:ascii="Symbol" w:hAnsi="Symbol"/>
      </w:rPr>
    </w:lvl>
    <w:lvl w:ilvl="4">
      <w:start w:val="1"/>
      <w:numFmt w:val="bullet"/>
      <w:isLgl w:val="false"/>
      <w:suff w:val="tab"/>
      <w:lvlText w:val="o"/>
      <w:lvlJc w:val="left"/>
      <w:pPr>
        <w:ind w:left="3600" w:hanging="360"/>
        <w:tabs>
          <w:tab w:val="num" w:pos="3600" w:leader="none"/>
        </w:tabs>
      </w:pPr>
      <w:rPr>
        <w:rFonts w:hint="default" w:ascii="Courier New" w:hAnsi="Courier New" w:cs="Courier New"/>
      </w:rPr>
    </w:lvl>
    <w:lvl w:ilvl="5">
      <w:start w:val="1"/>
      <w:numFmt w:val="bullet"/>
      <w:isLgl w:val="false"/>
      <w:suff w:val="tab"/>
      <w:lvlText w:val=""/>
      <w:lvlJc w:val="left"/>
      <w:pPr>
        <w:ind w:left="4320" w:hanging="360"/>
        <w:tabs>
          <w:tab w:val="num" w:pos="4320" w:leader="none"/>
        </w:tabs>
      </w:pPr>
      <w:rPr>
        <w:rFonts w:hint="default" w:ascii="Wingdings" w:hAnsi="Wingdings"/>
      </w:rPr>
    </w:lvl>
    <w:lvl w:ilvl="6">
      <w:start w:val="1"/>
      <w:numFmt w:val="bullet"/>
      <w:isLgl w:val="false"/>
      <w:suff w:val="tab"/>
      <w:lvlText w:val=""/>
      <w:lvlJc w:val="left"/>
      <w:pPr>
        <w:ind w:left="5040" w:hanging="360"/>
        <w:tabs>
          <w:tab w:val="num" w:pos="5040" w:leader="none"/>
        </w:tabs>
      </w:pPr>
      <w:rPr>
        <w:rFonts w:hint="default" w:ascii="Symbol" w:hAnsi="Symbol"/>
      </w:rPr>
    </w:lvl>
    <w:lvl w:ilvl="7">
      <w:start w:val="1"/>
      <w:numFmt w:val="bullet"/>
      <w:isLgl w:val="false"/>
      <w:suff w:val="tab"/>
      <w:lvlText w:val="o"/>
      <w:lvlJc w:val="left"/>
      <w:pPr>
        <w:ind w:left="5760" w:hanging="360"/>
        <w:tabs>
          <w:tab w:val="num" w:pos="5760" w:leader="none"/>
        </w:tabs>
      </w:pPr>
      <w:rPr>
        <w:rFonts w:hint="default" w:ascii="Courier New" w:hAnsi="Courier New" w:cs="Courier New"/>
      </w:rPr>
    </w:lvl>
    <w:lvl w:ilvl="8">
      <w:start w:val="1"/>
      <w:numFmt w:val="bullet"/>
      <w:isLgl w:val="false"/>
      <w:suff w:val="tab"/>
      <w:lvlText w:val=""/>
      <w:lvlJc w:val="left"/>
      <w:pPr>
        <w:ind w:left="6480" w:hanging="360"/>
        <w:tabs>
          <w:tab w:val="num" w:pos="6480" w:leader="none"/>
        </w:tabs>
      </w:pPr>
      <w:rPr>
        <w:rFonts w:hint="default" w:ascii="Wingdings" w:hAnsi="Wingdings"/>
      </w:rPr>
    </w:lvl>
  </w:abstractNum>
  <w:abstractNum w:abstractNumId="120">
    <w:multiLevelType w:val="hybridMultilevel"/>
    <w:lvl w:ilvl="0">
      <w:start w:val="1"/>
      <w:numFmt w:val="bullet"/>
      <w:isLgl w:val="false"/>
      <w:suff w:val="tab"/>
      <w:lvlText w:val="-"/>
      <w:lvlJc w:val="left"/>
      <w:pPr>
        <w:ind w:left="720" w:hanging="360"/>
      </w:pPr>
      <w:rPr>
        <w:rFonts w:hint="default" w:ascii="Courier New" w:hAnsi="Courier New"/>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21">
    <w:multiLevelType w:val="hybridMultilevel"/>
    <w:lvl w:ilvl="0">
      <w:start w:val="1"/>
      <w:numFmt w:val="decimal"/>
      <w:isLgl w:val="false"/>
      <w:suff w:val="tab"/>
      <w:lvlText w:val="%1)"/>
      <w:lvlJc w:val="left"/>
      <w:pPr>
        <w:ind w:left="360" w:hanging="360"/>
        <w:tabs>
          <w:tab w:val="num" w:pos="360" w:leader="none"/>
        </w:tabs>
      </w:pPr>
    </w:lvl>
    <w:lvl w:ilvl="1">
      <w:start w:val="1"/>
      <w:numFmt w:val="lowerLetter"/>
      <w:isLgl w:val="false"/>
      <w:suff w:val="tab"/>
      <w:lvlText w:val="%2)"/>
      <w:lvlJc w:val="left"/>
      <w:pPr>
        <w:ind w:left="720" w:hanging="360"/>
        <w:tabs>
          <w:tab w:val="num" w:pos="720" w:leader="none"/>
        </w:tabs>
      </w:pPr>
    </w:lvl>
    <w:lvl w:ilvl="2">
      <w:start w:val="1"/>
      <w:numFmt w:val="lowerRoman"/>
      <w:isLgl w:val="false"/>
      <w:suff w:val="tab"/>
      <w:lvlText w:val="%3)"/>
      <w:lvlJc w:val="left"/>
      <w:pPr>
        <w:ind w:left="1080" w:hanging="360"/>
        <w:tabs>
          <w:tab w:val="num" w:pos="1080" w:leader="none"/>
        </w:tabs>
      </w:pPr>
    </w:lvl>
    <w:lvl w:ilvl="3">
      <w:start w:val="1"/>
      <w:numFmt w:val="decimal"/>
      <w:isLgl w:val="false"/>
      <w:suff w:val="tab"/>
      <w:lvlText w:val="(%4)"/>
      <w:lvlJc w:val="left"/>
      <w:pPr>
        <w:ind w:left="1440" w:hanging="360"/>
        <w:tabs>
          <w:tab w:val="num" w:pos="1440" w:leader="none"/>
        </w:tabs>
      </w:pPr>
    </w:lvl>
    <w:lvl w:ilvl="4">
      <w:start w:val="1"/>
      <w:numFmt w:val="lowerLetter"/>
      <w:isLgl w:val="false"/>
      <w:suff w:val="tab"/>
      <w:lvlText w:val="(%5)"/>
      <w:lvlJc w:val="left"/>
      <w:pPr>
        <w:ind w:left="1800" w:hanging="360"/>
        <w:tabs>
          <w:tab w:val="num" w:pos="1800" w:leader="none"/>
        </w:tabs>
      </w:pPr>
    </w:lvl>
    <w:lvl w:ilvl="5">
      <w:start w:val="1"/>
      <w:numFmt w:val="lowerRoman"/>
      <w:isLgl w:val="false"/>
      <w:suff w:val="tab"/>
      <w:lvlText w:val="(%6)"/>
      <w:lvlJc w:val="left"/>
      <w:pPr>
        <w:ind w:left="2160" w:hanging="360"/>
        <w:tabs>
          <w:tab w:val="num" w:pos="2160" w:leader="none"/>
        </w:tabs>
      </w:pPr>
    </w:lvl>
    <w:lvl w:ilvl="6">
      <w:start w:val="1"/>
      <w:numFmt w:val="decimal"/>
      <w:isLgl w:val="false"/>
      <w:suff w:val="tab"/>
      <w:lvlText w:val="%7."/>
      <w:lvlJc w:val="left"/>
      <w:pPr>
        <w:ind w:left="2520" w:hanging="360"/>
        <w:tabs>
          <w:tab w:val="num" w:pos="2520" w:leader="none"/>
        </w:tabs>
      </w:pPr>
    </w:lvl>
    <w:lvl w:ilvl="7">
      <w:start w:val="1"/>
      <w:numFmt w:val="lowerLetter"/>
      <w:isLgl w:val="false"/>
      <w:suff w:val="tab"/>
      <w:lvlText w:val="%8."/>
      <w:lvlJc w:val="left"/>
      <w:pPr>
        <w:ind w:left="2880" w:hanging="360"/>
        <w:tabs>
          <w:tab w:val="num" w:pos="2880" w:leader="none"/>
        </w:tabs>
      </w:pPr>
    </w:lvl>
    <w:lvl w:ilvl="8">
      <w:start w:val="1"/>
      <w:numFmt w:val="lowerRoman"/>
      <w:isLgl w:val="false"/>
      <w:suff w:val="tab"/>
      <w:lvlText w:val="%9."/>
      <w:lvlJc w:val="left"/>
      <w:pPr>
        <w:ind w:left="3240" w:hanging="360"/>
        <w:tabs>
          <w:tab w:val="num" w:pos="3240" w:leader="none"/>
        </w:tabs>
      </w:pPr>
    </w:lvl>
  </w:abstractNum>
  <w:abstractNum w:abstractNumId="122">
    <w:multiLevelType w:val="hybridMultilevel"/>
    <w:styleLink w:val="1849"/>
    <w:lvl w:ilvl="0">
      <w:start w:val="1"/>
      <w:numFmt w:val="decimal"/>
      <w:pStyle w:val="1849"/>
      <w:isLgl w:val="false"/>
      <w:suff w:val="tab"/>
      <w:lvlText w:val="А0.%1."/>
      <w:lvlJc w:val="left"/>
      <w:pPr>
        <w:ind w:left="511" w:hanging="227"/>
        <w:tabs>
          <w:tab w:val="num" w:pos="511" w:leader="none"/>
        </w:tabs>
      </w:pPr>
      <w:rPr>
        <w:rFonts w:hint="default" w:ascii="Times New Roman" w:hAnsi="Times New Roman" w:cs="Times New Roman"/>
        <w:b w:val="0"/>
        <w:bCs w:val="0"/>
        <w:i w:val="0"/>
        <w:iCs w:val="0"/>
        <w:caps w:val="0"/>
        <w:smallCaps w:val="0"/>
        <w:strike w:val="0"/>
        <w:vanish w:val="0"/>
        <w:color w:val="000000"/>
        <w:spacing w:val="0"/>
        <w:position w:val="0"/>
        <w:u w:val="none"/>
        <w:vertAlign w:val="baseline"/>
      </w:rPr>
    </w:lvl>
    <w:lvl w:ilvl="1">
      <w:start w:val="1"/>
      <w:numFmt w:val="decimal"/>
      <w:isLgl w:val="false"/>
      <w:suff w:val="tab"/>
      <w:lvlText w:val="А0%1.%2."/>
      <w:lvlJc w:val="left"/>
      <w:pPr>
        <w:ind w:left="936" w:hanging="425"/>
        <w:tabs>
          <w:tab w:val="num" w:pos="794" w:leader="none"/>
        </w:tabs>
      </w:pPr>
      <w:rPr>
        <w:rFonts w:hint="default" w:ascii="Times New Roman" w:hAnsi="Times New Roman"/>
        <w:b w:val="0"/>
        <w:bCs w:val="0"/>
        <w:i w:val="0"/>
        <w:iCs w:val="0"/>
        <w:caps w:val="0"/>
        <w:smallCaps w:val="0"/>
        <w:strike w:val="0"/>
        <w:vanish w:val="0"/>
        <w:color w:val="000000"/>
        <w:spacing w:val="0"/>
        <w:position w:val="0"/>
        <w:sz w:val="24"/>
        <w:u w:val="none"/>
        <w:vertAlign w:val="baseline"/>
      </w:rPr>
    </w:lvl>
    <w:lvl w:ilvl="2">
      <w:start w:val="1"/>
      <w:numFmt w:val="decimal"/>
      <w:isLgl w:val="false"/>
      <w:suff w:val="tab"/>
      <w:lvlText w:val="%2.%1.%3."/>
      <w:lvlJc w:val="left"/>
      <w:pPr>
        <w:ind w:left="1503" w:hanging="567"/>
        <w:tabs>
          <w:tab w:val="num" w:pos="1361" w:leader="none"/>
        </w:tabs>
      </w:pPr>
      <w:rPr>
        <w:rFonts w:hint="default" w:ascii="Times New Roman" w:hAnsi="Times New Roman"/>
        <w:sz w:val="24"/>
        <w:szCs w:val="24"/>
      </w:rPr>
    </w:lvl>
    <w:lvl w:ilvl="3">
      <w:start w:val="1"/>
      <w:numFmt w:val="decimal"/>
      <w:isLgl w:val="false"/>
      <w:suff w:val="tab"/>
      <w:lvlText w:val="%1.%2.%3.%4."/>
      <w:lvlJc w:val="left"/>
      <w:pPr>
        <w:ind w:left="2522" w:hanging="648"/>
        <w:tabs>
          <w:tab w:val="num" w:pos="2594" w:leader="none"/>
        </w:tabs>
      </w:pPr>
      <w:rPr>
        <w:rFonts w:hint="default"/>
      </w:rPr>
    </w:lvl>
    <w:lvl w:ilvl="4">
      <w:start w:val="1"/>
      <w:numFmt w:val="decimal"/>
      <w:isLgl w:val="false"/>
      <w:suff w:val="tab"/>
      <w:lvlText w:val="%1.%2.%3.%4.%5."/>
      <w:lvlJc w:val="left"/>
      <w:pPr>
        <w:ind w:left="3026" w:hanging="792"/>
        <w:tabs>
          <w:tab w:val="num" w:pos="3314" w:leader="none"/>
        </w:tabs>
      </w:pPr>
      <w:rPr>
        <w:rFonts w:hint="default"/>
      </w:rPr>
    </w:lvl>
    <w:lvl w:ilvl="5">
      <w:start w:val="1"/>
      <w:numFmt w:val="decimal"/>
      <w:isLgl w:val="false"/>
      <w:suff w:val="tab"/>
      <w:lvlText w:val="%1.%2.%3.%4.%5.%6."/>
      <w:lvlJc w:val="left"/>
      <w:pPr>
        <w:ind w:left="3530" w:hanging="936"/>
        <w:tabs>
          <w:tab w:val="num" w:pos="3674" w:leader="none"/>
        </w:tabs>
      </w:pPr>
      <w:rPr>
        <w:rFonts w:hint="default"/>
      </w:rPr>
    </w:lvl>
    <w:lvl w:ilvl="6">
      <w:start w:val="1"/>
      <w:numFmt w:val="decimal"/>
      <w:isLgl w:val="false"/>
      <w:suff w:val="tab"/>
      <w:lvlText w:val="%1.%2.%3.%4.%5.%6.%7."/>
      <w:lvlJc w:val="left"/>
      <w:pPr>
        <w:ind w:left="4034" w:hanging="1080"/>
        <w:tabs>
          <w:tab w:val="num" w:pos="4394" w:leader="none"/>
        </w:tabs>
      </w:pPr>
      <w:rPr>
        <w:rFonts w:hint="default"/>
      </w:rPr>
    </w:lvl>
    <w:lvl w:ilvl="7">
      <w:start w:val="1"/>
      <w:numFmt w:val="decimal"/>
      <w:isLgl w:val="false"/>
      <w:suff w:val="tab"/>
      <w:lvlText w:val="%1.%2.%3.%4.%5.%6.%7.%8."/>
      <w:lvlJc w:val="left"/>
      <w:pPr>
        <w:ind w:left="4538" w:hanging="1224"/>
        <w:tabs>
          <w:tab w:val="num" w:pos="4754" w:leader="none"/>
        </w:tabs>
      </w:pPr>
      <w:rPr>
        <w:rFonts w:hint="default"/>
      </w:rPr>
    </w:lvl>
    <w:lvl w:ilvl="8">
      <w:start w:val="1"/>
      <w:numFmt w:val="decimal"/>
      <w:isLgl w:val="false"/>
      <w:suff w:val="tab"/>
      <w:lvlText w:val="%1.%2.%3.%4.%5.%6.%7.%8.%9."/>
      <w:lvlJc w:val="left"/>
      <w:pPr>
        <w:ind w:left="5114" w:hanging="1440"/>
        <w:tabs>
          <w:tab w:val="num" w:pos="5474" w:leader="none"/>
        </w:tabs>
      </w:pPr>
      <w:rPr>
        <w:rFonts w:hint="default"/>
      </w:rPr>
    </w:lvl>
  </w:abstractNum>
  <w:abstractNum w:abstractNumId="123">
    <w:multiLevelType w:val="hybridMultilevel"/>
    <w:lvl w:ilvl="0">
      <w:start w:val="1"/>
      <w:numFmt w:val="bullet"/>
      <w:pStyle w:val="1858"/>
      <w:isLgl w:val="false"/>
      <w:suff w:val="tab"/>
      <w:lvlText w:val="-"/>
      <w:lvlJc w:val="left"/>
      <w:pPr>
        <w:ind w:left="1854" w:hanging="360"/>
      </w:pPr>
      <w:rPr>
        <w:rFonts w:hint="default" w:ascii="Times New Roman" w:hAnsi="Times New Roman" w:eastAsia="Times New Roman"/>
      </w:rPr>
    </w:lvl>
    <w:lvl w:ilvl="1">
      <w:start w:val="1"/>
      <w:numFmt w:val="bullet"/>
      <w:isLgl w:val="false"/>
      <w:suff w:val="tab"/>
      <w:lvlText w:val="o"/>
      <w:lvlJc w:val="left"/>
      <w:pPr>
        <w:ind w:left="2574" w:hanging="360"/>
      </w:pPr>
      <w:rPr>
        <w:rFonts w:hint="default" w:ascii="Courier New" w:hAnsi="Courier New"/>
      </w:rPr>
    </w:lvl>
    <w:lvl w:ilvl="2">
      <w:start w:val="1"/>
      <w:numFmt w:val="bullet"/>
      <w:isLgl w:val="false"/>
      <w:suff w:val="tab"/>
      <w:lvlText w:val=""/>
      <w:lvlJc w:val="left"/>
      <w:pPr>
        <w:ind w:left="3294" w:hanging="360"/>
      </w:pPr>
      <w:rPr>
        <w:rFonts w:hint="default" w:ascii="Wingdings" w:hAnsi="Wingdings"/>
      </w:rPr>
    </w:lvl>
    <w:lvl w:ilvl="3">
      <w:start w:val="1"/>
      <w:numFmt w:val="bullet"/>
      <w:isLgl w:val="false"/>
      <w:suff w:val="tab"/>
      <w:lvlText w:val=""/>
      <w:lvlJc w:val="left"/>
      <w:pPr>
        <w:ind w:left="4014" w:hanging="360"/>
      </w:pPr>
      <w:rPr>
        <w:rFonts w:hint="default" w:ascii="Symbol" w:hAnsi="Symbol"/>
      </w:rPr>
    </w:lvl>
    <w:lvl w:ilvl="4">
      <w:start w:val="1"/>
      <w:numFmt w:val="bullet"/>
      <w:isLgl w:val="false"/>
      <w:suff w:val="tab"/>
      <w:lvlText w:val="o"/>
      <w:lvlJc w:val="left"/>
      <w:pPr>
        <w:ind w:left="4734" w:hanging="360"/>
      </w:pPr>
      <w:rPr>
        <w:rFonts w:hint="default" w:ascii="Courier New" w:hAnsi="Courier New"/>
      </w:rPr>
    </w:lvl>
    <w:lvl w:ilvl="5">
      <w:start w:val="1"/>
      <w:numFmt w:val="bullet"/>
      <w:isLgl w:val="false"/>
      <w:suff w:val="tab"/>
      <w:lvlText w:val=""/>
      <w:lvlJc w:val="left"/>
      <w:pPr>
        <w:ind w:left="5454" w:hanging="360"/>
      </w:pPr>
      <w:rPr>
        <w:rFonts w:hint="default" w:ascii="Wingdings" w:hAnsi="Wingdings"/>
      </w:rPr>
    </w:lvl>
    <w:lvl w:ilvl="6">
      <w:start w:val="1"/>
      <w:numFmt w:val="bullet"/>
      <w:isLgl w:val="false"/>
      <w:suff w:val="tab"/>
      <w:lvlText w:val=""/>
      <w:lvlJc w:val="left"/>
      <w:pPr>
        <w:ind w:left="6174" w:hanging="360"/>
      </w:pPr>
      <w:rPr>
        <w:rFonts w:hint="default" w:ascii="Symbol" w:hAnsi="Symbol"/>
      </w:rPr>
    </w:lvl>
    <w:lvl w:ilvl="7">
      <w:start w:val="1"/>
      <w:numFmt w:val="bullet"/>
      <w:isLgl w:val="false"/>
      <w:suff w:val="tab"/>
      <w:lvlText w:val="o"/>
      <w:lvlJc w:val="left"/>
      <w:pPr>
        <w:ind w:left="6894" w:hanging="360"/>
      </w:pPr>
      <w:rPr>
        <w:rFonts w:hint="default" w:ascii="Courier New" w:hAnsi="Courier New"/>
      </w:rPr>
    </w:lvl>
    <w:lvl w:ilvl="8">
      <w:start w:val="1"/>
      <w:numFmt w:val="bullet"/>
      <w:isLgl w:val="false"/>
      <w:suff w:val="tab"/>
      <w:lvlText w:val=""/>
      <w:lvlJc w:val="left"/>
      <w:pPr>
        <w:ind w:left="7614" w:hanging="360"/>
      </w:pPr>
      <w:rPr>
        <w:rFonts w:hint="default" w:ascii="Wingdings" w:hAnsi="Wingdings"/>
      </w:rPr>
    </w:lvl>
  </w:abstractNum>
  <w:abstractNum w:abstractNumId="124">
    <w:multiLevelType w:val="hybridMultilevel"/>
    <w:lvl w:ilvl="0">
      <w:start w:val="1"/>
      <w:numFmt w:val="bullet"/>
      <w:pStyle w:val="2026"/>
      <w:isLgl w:val="false"/>
      <w:suff w:val="tab"/>
      <w:lvlText w:val="o"/>
      <w:lvlJc w:val="left"/>
      <w:pPr>
        <w:ind w:left="3076" w:hanging="360"/>
      </w:pPr>
      <w:rPr>
        <w:rFonts w:hint="default" w:ascii="Courier New" w:hAnsi="Courier New"/>
      </w:rPr>
    </w:lvl>
    <w:lvl w:ilvl="1">
      <w:start w:val="1"/>
      <w:numFmt w:val="bullet"/>
      <w:pStyle w:val="2027"/>
      <w:isLgl w:val="false"/>
      <w:suff w:val="tab"/>
      <w:lvlText w:val="o"/>
      <w:lvlJc w:val="left"/>
      <w:pPr>
        <w:ind w:left="5552" w:hanging="360"/>
      </w:pPr>
      <w:rPr>
        <w:rFonts w:hint="default" w:ascii="Courier New" w:hAnsi="Courier New"/>
      </w:rPr>
    </w:lvl>
    <w:lvl w:ilvl="2">
      <w:start w:val="1"/>
      <w:numFmt w:val="bullet"/>
      <w:isLgl w:val="false"/>
      <w:suff w:val="tab"/>
      <w:lvlText w:val=""/>
      <w:lvlJc w:val="left"/>
      <w:pPr>
        <w:ind w:left="4516" w:hanging="360"/>
      </w:pPr>
      <w:rPr>
        <w:rFonts w:hint="default" w:ascii="Wingdings" w:hAnsi="Wingdings"/>
      </w:rPr>
    </w:lvl>
    <w:lvl w:ilvl="3">
      <w:start w:val="1"/>
      <w:numFmt w:val="bullet"/>
      <w:isLgl w:val="false"/>
      <w:suff w:val="tab"/>
      <w:lvlText w:val=""/>
      <w:lvlJc w:val="left"/>
      <w:pPr>
        <w:ind w:left="5236" w:hanging="360"/>
      </w:pPr>
      <w:rPr>
        <w:rFonts w:hint="default" w:ascii="Symbol" w:hAnsi="Symbol"/>
      </w:rPr>
    </w:lvl>
    <w:lvl w:ilvl="4">
      <w:start w:val="1"/>
      <w:numFmt w:val="bullet"/>
      <w:isLgl w:val="false"/>
      <w:suff w:val="tab"/>
      <w:lvlText w:val="o"/>
      <w:lvlJc w:val="left"/>
      <w:pPr>
        <w:ind w:left="5956" w:hanging="360"/>
      </w:pPr>
      <w:rPr>
        <w:rFonts w:hint="default" w:ascii="Courier New" w:hAnsi="Courier New"/>
      </w:rPr>
    </w:lvl>
    <w:lvl w:ilvl="5">
      <w:start w:val="1"/>
      <w:numFmt w:val="bullet"/>
      <w:isLgl w:val="false"/>
      <w:suff w:val="tab"/>
      <w:lvlText w:val=""/>
      <w:lvlJc w:val="left"/>
      <w:pPr>
        <w:ind w:left="6676" w:hanging="360"/>
      </w:pPr>
      <w:rPr>
        <w:rFonts w:hint="default" w:ascii="Wingdings" w:hAnsi="Wingdings"/>
      </w:rPr>
    </w:lvl>
    <w:lvl w:ilvl="6">
      <w:start w:val="1"/>
      <w:numFmt w:val="bullet"/>
      <w:isLgl w:val="false"/>
      <w:suff w:val="tab"/>
      <w:lvlText w:val=""/>
      <w:lvlJc w:val="left"/>
      <w:pPr>
        <w:ind w:left="7396" w:hanging="360"/>
      </w:pPr>
      <w:rPr>
        <w:rFonts w:hint="default" w:ascii="Symbol" w:hAnsi="Symbol"/>
      </w:rPr>
    </w:lvl>
    <w:lvl w:ilvl="7">
      <w:start w:val="1"/>
      <w:numFmt w:val="bullet"/>
      <w:isLgl w:val="false"/>
      <w:suff w:val="tab"/>
      <w:lvlText w:val="o"/>
      <w:lvlJc w:val="left"/>
      <w:pPr>
        <w:ind w:left="8116" w:hanging="360"/>
      </w:pPr>
      <w:rPr>
        <w:rFonts w:hint="default" w:ascii="Courier New" w:hAnsi="Courier New"/>
      </w:rPr>
    </w:lvl>
    <w:lvl w:ilvl="8">
      <w:start w:val="1"/>
      <w:numFmt w:val="bullet"/>
      <w:isLgl w:val="false"/>
      <w:suff w:val="tab"/>
      <w:lvlText w:val=""/>
      <w:lvlJc w:val="left"/>
      <w:pPr>
        <w:ind w:left="8836" w:hanging="360"/>
      </w:pPr>
      <w:rPr>
        <w:rFonts w:hint="default" w:ascii="Wingdings" w:hAnsi="Wingdings"/>
      </w:rPr>
    </w:lvl>
  </w:abstractNum>
  <w:abstractNum w:abstractNumId="125">
    <w:multiLevelType w:val="hybridMultilevel"/>
    <w:lvl w:ilvl="0">
      <w:start w:val="1"/>
      <w:numFmt w:val="bullet"/>
      <w:pStyle w:val="1296"/>
      <w:isLgl w:val="false"/>
      <w:suff w:val="tab"/>
      <w:lvlText w:val="–"/>
      <w:lvlJc w:val="left"/>
      <w:pPr>
        <w:ind w:left="851" w:hanging="284"/>
        <w:tabs>
          <w:tab w:val="num" w:pos="851" w:leader="none"/>
        </w:tabs>
      </w:pPr>
      <w:rPr>
        <w:rFonts w:hint="default" w:ascii="Times New Roman" w:hAnsi="Times New Roman" w:cs="Times New Roman"/>
      </w:rPr>
    </w:lvl>
    <w:lvl w:ilvl="1">
      <w:start w:val="1"/>
      <w:numFmt w:val="bullet"/>
      <w:isLgl w:val="false"/>
      <w:suff w:val="tab"/>
      <w:lvlText w:val="o"/>
      <w:lvlJc w:val="left"/>
      <w:pPr>
        <w:ind w:left="1440" w:hanging="360"/>
        <w:tabs>
          <w:tab w:val="num" w:pos="1440" w:leader="none"/>
        </w:tabs>
      </w:pPr>
      <w:rPr>
        <w:rFonts w:hint="default" w:ascii="Courier New" w:hAnsi="Courier New" w:cs="Courier New"/>
      </w:rPr>
    </w:lvl>
    <w:lvl w:ilvl="2">
      <w:start w:val="1"/>
      <w:numFmt w:val="bullet"/>
      <w:isLgl w:val="false"/>
      <w:suff w:val="tab"/>
      <w:lvlText w:val=""/>
      <w:lvlJc w:val="left"/>
      <w:pPr>
        <w:ind w:left="2160" w:hanging="360"/>
        <w:tabs>
          <w:tab w:val="num" w:pos="2160" w:leader="none"/>
        </w:tabs>
      </w:pPr>
      <w:rPr>
        <w:rFonts w:hint="default" w:ascii="Wingdings" w:hAnsi="Wingdings"/>
      </w:rPr>
    </w:lvl>
    <w:lvl w:ilvl="3">
      <w:start w:val="1"/>
      <w:numFmt w:val="bullet"/>
      <w:isLgl w:val="false"/>
      <w:suff w:val="tab"/>
      <w:lvlText w:val=""/>
      <w:lvlJc w:val="left"/>
      <w:pPr>
        <w:ind w:left="2880" w:hanging="360"/>
        <w:tabs>
          <w:tab w:val="num" w:pos="2880" w:leader="none"/>
        </w:tabs>
      </w:pPr>
      <w:rPr>
        <w:rFonts w:hint="default" w:ascii="Symbol" w:hAnsi="Symbol"/>
      </w:rPr>
    </w:lvl>
    <w:lvl w:ilvl="4">
      <w:start w:val="1"/>
      <w:numFmt w:val="bullet"/>
      <w:isLgl w:val="false"/>
      <w:suff w:val="tab"/>
      <w:lvlText w:val="o"/>
      <w:lvlJc w:val="left"/>
      <w:pPr>
        <w:ind w:left="3600" w:hanging="360"/>
        <w:tabs>
          <w:tab w:val="num" w:pos="3600" w:leader="none"/>
        </w:tabs>
      </w:pPr>
      <w:rPr>
        <w:rFonts w:hint="default" w:ascii="Courier New" w:hAnsi="Courier New" w:cs="Courier New"/>
      </w:rPr>
    </w:lvl>
    <w:lvl w:ilvl="5">
      <w:start w:val="1"/>
      <w:numFmt w:val="bullet"/>
      <w:isLgl w:val="false"/>
      <w:suff w:val="tab"/>
      <w:lvlText w:val=""/>
      <w:lvlJc w:val="left"/>
      <w:pPr>
        <w:ind w:left="4320" w:hanging="360"/>
        <w:tabs>
          <w:tab w:val="num" w:pos="4320" w:leader="none"/>
        </w:tabs>
      </w:pPr>
      <w:rPr>
        <w:rFonts w:hint="default" w:ascii="Wingdings" w:hAnsi="Wingdings"/>
      </w:rPr>
    </w:lvl>
    <w:lvl w:ilvl="6">
      <w:start w:val="1"/>
      <w:numFmt w:val="bullet"/>
      <w:isLgl w:val="false"/>
      <w:suff w:val="tab"/>
      <w:lvlText w:val=""/>
      <w:lvlJc w:val="left"/>
      <w:pPr>
        <w:ind w:left="5040" w:hanging="360"/>
        <w:tabs>
          <w:tab w:val="num" w:pos="5040" w:leader="none"/>
        </w:tabs>
      </w:pPr>
      <w:rPr>
        <w:rFonts w:hint="default" w:ascii="Symbol" w:hAnsi="Symbol"/>
      </w:rPr>
    </w:lvl>
    <w:lvl w:ilvl="7">
      <w:start w:val="1"/>
      <w:numFmt w:val="bullet"/>
      <w:isLgl w:val="false"/>
      <w:suff w:val="tab"/>
      <w:lvlText w:val="o"/>
      <w:lvlJc w:val="left"/>
      <w:pPr>
        <w:ind w:left="5760" w:hanging="360"/>
        <w:tabs>
          <w:tab w:val="num" w:pos="5760" w:leader="none"/>
        </w:tabs>
      </w:pPr>
      <w:rPr>
        <w:rFonts w:hint="default" w:ascii="Courier New" w:hAnsi="Courier New" w:cs="Courier New"/>
      </w:rPr>
    </w:lvl>
    <w:lvl w:ilvl="8">
      <w:start w:val="1"/>
      <w:numFmt w:val="bullet"/>
      <w:isLgl w:val="false"/>
      <w:suff w:val="tab"/>
      <w:lvlText w:val=""/>
      <w:lvlJc w:val="left"/>
      <w:pPr>
        <w:ind w:left="6480" w:hanging="360"/>
        <w:tabs>
          <w:tab w:val="num" w:pos="6480" w:leader="none"/>
        </w:tabs>
      </w:pPr>
      <w:rPr>
        <w:rFonts w:hint="default" w:ascii="Wingdings" w:hAnsi="Wingdings"/>
      </w:rPr>
    </w:lvl>
  </w:abstractNum>
  <w:abstractNum w:abstractNumId="126">
    <w:multiLevelType w:val="hybridMultilevel"/>
    <w:lvl w:ilvl="0">
      <w:start w:val="1"/>
      <w:numFmt w:val="bullet"/>
      <w:pStyle w:val="2121"/>
      <w:isLgl w:val="false"/>
      <w:suff w:val="tab"/>
      <w:lvlText w:val=""/>
      <w:lvlJc w:val="left"/>
      <w:pPr>
        <w:ind w:left="1077" w:hanging="357"/>
        <w:tabs>
          <w:tab w:val="num" w:pos="1077" w:leader="none"/>
        </w:tabs>
      </w:pPr>
      <w:rPr>
        <w:rFonts w:hint="default" w:ascii="Symbol" w:hAnsi="Symbol"/>
        <w:color w:val="auto"/>
      </w:rPr>
    </w:lvl>
    <w:lvl w:ilvl="1">
      <w:start w:val="1"/>
      <w:numFmt w:val="bullet"/>
      <w:isLgl w:val="false"/>
      <w:suff w:val="tab"/>
      <w:lvlText w:val="o"/>
      <w:lvlJc w:val="left"/>
      <w:pPr>
        <w:ind w:left="2160" w:hanging="360"/>
        <w:tabs>
          <w:tab w:val="num" w:pos="2160" w:leader="none"/>
        </w:tabs>
      </w:pPr>
      <w:rPr>
        <w:rFonts w:hint="default" w:ascii="Courier New" w:hAnsi="Courier New" w:cs="Courier New"/>
      </w:rPr>
    </w:lvl>
    <w:lvl w:ilvl="2">
      <w:start w:val="1"/>
      <w:numFmt w:val="bullet"/>
      <w:isLgl w:val="false"/>
      <w:suff w:val="tab"/>
      <w:lvlText w:val=""/>
      <w:lvlJc w:val="left"/>
      <w:pPr>
        <w:ind w:left="2880" w:hanging="360"/>
        <w:tabs>
          <w:tab w:val="num" w:pos="2880" w:leader="none"/>
        </w:tabs>
      </w:pPr>
      <w:rPr>
        <w:rFonts w:hint="default" w:ascii="Wingdings" w:hAnsi="Wingdings"/>
      </w:rPr>
    </w:lvl>
    <w:lvl w:ilvl="3">
      <w:start w:val="1"/>
      <w:numFmt w:val="bullet"/>
      <w:isLgl w:val="false"/>
      <w:suff w:val="tab"/>
      <w:lvlText w:val=""/>
      <w:lvlJc w:val="left"/>
      <w:pPr>
        <w:ind w:left="3600" w:hanging="360"/>
        <w:tabs>
          <w:tab w:val="num" w:pos="3600" w:leader="none"/>
        </w:tabs>
      </w:pPr>
      <w:rPr>
        <w:rFonts w:hint="default" w:ascii="Symbol" w:hAnsi="Symbol"/>
      </w:rPr>
    </w:lvl>
    <w:lvl w:ilvl="4">
      <w:start w:val="1"/>
      <w:numFmt w:val="bullet"/>
      <w:isLgl w:val="false"/>
      <w:suff w:val="tab"/>
      <w:lvlText w:val="o"/>
      <w:lvlJc w:val="left"/>
      <w:pPr>
        <w:ind w:left="4320" w:hanging="360"/>
        <w:tabs>
          <w:tab w:val="num" w:pos="4320" w:leader="none"/>
        </w:tabs>
      </w:pPr>
      <w:rPr>
        <w:rFonts w:hint="default" w:ascii="Courier New" w:hAnsi="Courier New" w:cs="Courier New"/>
      </w:rPr>
    </w:lvl>
    <w:lvl w:ilvl="5">
      <w:start w:val="1"/>
      <w:numFmt w:val="bullet"/>
      <w:isLgl w:val="false"/>
      <w:suff w:val="tab"/>
      <w:lvlText w:val=""/>
      <w:lvlJc w:val="left"/>
      <w:pPr>
        <w:ind w:left="5040" w:hanging="360"/>
        <w:tabs>
          <w:tab w:val="num" w:pos="5040" w:leader="none"/>
        </w:tabs>
      </w:pPr>
      <w:rPr>
        <w:rFonts w:hint="default" w:ascii="Wingdings" w:hAnsi="Wingdings"/>
      </w:rPr>
    </w:lvl>
    <w:lvl w:ilvl="6">
      <w:start w:val="1"/>
      <w:numFmt w:val="bullet"/>
      <w:isLgl w:val="false"/>
      <w:suff w:val="tab"/>
      <w:lvlText w:val=""/>
      <w:lvlJc w:val="left"/>
      <w:pPr>
        <w:ind w:left="5760" w:hanging="360"/>
        <w:tabs>
          <w:tab w:val="num" w:pos="5760" w:leader="none"/>
        </w:tabs>
      </w:pPr>
      <w:rPr>
        <w:rFonts w:hint="default" w:ascii="Symbol" w:hAnsi="Symbol"/>
      </w:rPr>
    </w:lvl>
    <w:lvl w:ilvl="7">
      <w:start w:val="1"/>
      <w:numFmt w:val="bullet"/>
      <w:isLgl w:val="false"/>
      <w:suff w:val="tab"/>
      <w:lvlText w:val="o"/>
      <w:lvlJc w:val="left"/>
      <w:pPr>
        <w:ind w:left="6480" w:hanging="360"/>
        <w:tabs>
          <w:tab w:val="num" w:pos="6480" w:leader="none"/>
        </w:tabs>
      </w:pPr>
      <w:rPr>
        <w:rFonts w:hint="default" w:ascii="Courier New" w:hAnsi="Courier New" w:cs="Courier New"/>
      </w:rPr>
    </w:lvl>
    <w:lvl w:ilvl="8">
      <w:start w:val="1"/>
      <w:numFmt w:val="bullet"/>
      <w:isLgl w:val="false"/>
      <w:suff w:val="tab"/>
      <w:lvlText w:val=""/>
      <w:lvlJc w:val="left"/>
      <w:pPr>
        <w:ind w:left="7200" w:hanging="360"/>
        <w:tabs>
          <w:tab w:val="num" w:pos="7200" w:leader="none"/>
        </w:tabs>
      </w:pPr>
      <w:rPr>
        <w:rFonts w:hint="default" w:ascii="Wingdings" w:hAnsi="Wingdings"/>
      </w:rPr>
    </w:lvl>
  </w:abstractNum>
  <w:abstractNum w:abstractNumId="127">
    <w:multiLevelType w:val="hybridMultilevel"/>
    <w:lvl w:ilvl="0">
      <w:start w:val="1"/>
      <w:numFmt w:val="decimal"/>
      <w:pStyle w:val="2018"/>
      <w:isLgl w:val="false"/>
      <w:suff w:val="tab"/>
      <w:lvlText w:val="%1)"/>
      <w:lvlJc w:val="left"/>
      <w:pPr>
        <w:ind w:left="2073" w:hanging="360"/>
      </w:pPr>
      <w:rPr>
        <w:rFonts w:hint="default" w:cs="Times New Roman"/>
      </w:rPr>
    </w:lvl>
    <w:lvl w:ilvl="1">
      <w:start w:val="1"/>
      <w:numFmt w:val="lowerLetter"/>
      <w:isLgl w:val="false"/>
      <w:suff w:val="tab"/>
      <w:lvlText w:val="%2."/>
      <w:lvlJc w:val="left"/>
      <w:pPr>
        <w:ind w:left="1440" w:hanging="360"/>
      </w:pPr>
      <w:rPr>
        <w:rFonts w:cs="Times New Roman"/>
      </w:rPr>
    </w:lvl>
    <w:lvl w:ilvl="2">
      <w:start w:val="1"/>
      <w:numFmt w:val="lowerRoman"/>
      <w:isLgl w:val="false"/>
      <w:suff w:val="tab"/>
      <w:lvlText w:val="%3."/>
      <w:lvlJc w:val="right"/>
      <w:pPr>
        <w:ind w:left="2160" w:hanging="180"/>
      </w:pPr>
      <w:rPr>
        <w:rFonts w:cs="Times New Roman"/>
      </w:rPr>
    </w:lvl>
    <w:lvl w:ilvl="3">
      <w:start w:val="1"/>
      <w:numFmt w:val="decimal"/>
      <w:isLgl w:val="false"/>
      <w:suff w:val="tab"/>
      <w:lvlText w:val="%4."/>
      <w:lvlJc w:val="left"/>
      <w:pPr>
        <w:ind w:left="2880" w:hanging="360"/>
      </w:pPr>
      <w:rPr>
        <w:rFonts w:cs="Times New Roman"/>
      </w:rPr>
    </w:lvl>
    <w:lvl w:ilvl="4">
      <w:start w:val="1"/>
      <w:numFmt w:val="lowerLetter"/>
      <w:isLgl w:val="false"/>
      <w:suff w:val="tab"/>
      <w:lvlText w:val="%5."/>
      <w:lvlJc w:val="left"/>
      <w:pPr>
        <w:ind w:left="3600" w:hanging="360"/>
      </w:pPr>
      <w:rPr>
        <w:rFonts w:cs="Times New Roman"/>
      </w:rPr>
    </w:lvl>
    <w:lvl w:ilvl="5">
      <w:start w:val="1"/>
      <w:numFmt w:val="lowerRoman"/>
      <w:isLgl w:val="false"/>
      <w:suff w:val="tab"/>
      <w:lvlText w:val="%6."/>
      <w:lvlJc w:val="right"/>
      <w:pPr>
        <w:ind w:left="4320" w:hanging="180"/>
      </w:pPr>
      <w:rPr>
        <w:rFonts w:cs="Times New Roman"/>
      </w:rPr>
    </w:lvl>
    <w:lvl w:ilvl="6">
      <w:start w:val="1"/>
      <w:numFmt w:val="decimal"/>
      <w:isLgl w:val="false"/>
      <w:suff w:val="tab"/>
      <w:lvlText w:val="%7."/>
      <w:lvlJc w:val="left"/>
      <w:pPr>
        <w:ind w:left="5040" w:hanging="360"/>
      </w:pPr>
      <w:rPr>
        <w:rFonts w:cs="Times New Roman"/>
      </w:rPr>
    </w:lvl>
    <w:lvl w:ilvl="7">
      <w:start w:val="1"/>
      <w:numFmt w:val="lowerLetter"/>
      <w:isLgl w:val="false"/>
      <w:suff w:val="tab"/>
      <w:lvlText w:val="%8."/>
      <w:lvlJc w:val="left"/>
      <w:pPr>
        <w:ind w:left="5760" w:hanging="360"/>
      </w:pPr>
      <w:rPr>
        <w:rFonts w:cs="Times New Roman"/>
      </w:rPr>
    </w:lvl>
    <w:lvl w:ilvl="8">
      <w:start w:val="1"/>
      <w:numFmt w:val="lowerRoman"/>
      <w:isLgl w:val="false"/>
      <w:suff w:val="tab"/>
      <w:lvlText w:val="%9."/>
      <w:lvlJc w:val="right"/>
      <w:pPr>
        <w:ind w:left="6480" w:hanging="180"/>
      </w:pPr>
      <w:rPr>
        <w:rFonts w:cs="Times New Roman"/>
      </w:rPr>
    </w:lvl>
  </w:abstractNum>
  <w:abstractNum w:abstractNumId="128">
    <w:multiLevelType w:val="hybridMultilevel"/>
    <w:lvl w:ilvl="0">
      <w:start w:val="1"/>
      <w:numFmt w:val="decimal"/>
      <w:pStyle w:val="1566"/>
      <w:isLgl w:val="false"/>
      <w:suff w:val="tab"/>
      <w:lvlText w:val="%1."/>
      <w:lvlJc w:val="left"/>
      <w:pPr>
        <w:ind w:left="0" w:firstLine="720"/>
        <w:tabs>
          <w:tab w:val="num" w:pos="1080" w:leader="none"/>
        </w:tabs>
      </w:pPr>
      <w:rPr>
        <w:rFonts w:hint="default"/>
      </w:r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129">
    <w:multiLevelType w:val="hybridMultilevel"/>
    <w:lvl w:ilvl="0">
      <w:start w:val="1"/>
      <w:numFmt w:val="bullet"/>
      <w:pStyle w:val="2056"/>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rPr>
    </w:lvl>
    <w:lvl w:ilvl="8">
      <w:start w:val="1"/>
      <w:numFmt w:val="bullet"/>
      <w:isLgl w:val="false"/>
      <w:suff w:val="tab"/>
      <w:lvlText w:val=""/>
      <w:lvlJc w:val="left"/>
      <w:pPr>
        <w:ind w:left="7047" w:hanging="360"/>
      </w:pPr>
      <w:rPr>
        <w:rFonts w:hint="default" w:ascii="Wingdings" w:hAnsi="Wingdings"/>
      </w:rPr>
    </w:lvl>
  </w:abstractNum>
  <w:abstractNum w:abstractNumId="130">
    <w:multiLevelType w:val="hybridMultilevel"/>
    <w:lvl w:ilvl="0">
      <w:start w:val="1"/>
      <w:numFmt w:val="bullet"/>
      <w:pStyle w:val="1635"/>
      <w:isLgl w:val="false"/>
      <w:suff w:val="tab"/>
      <w:lvlText w:val=""/>
      <w:lvlJc w:val="left"/>
      <w:pPr>
        <w:ind w:left="1069" w:hanging="360"/>
      </w:pPr>
      <w:rPr>
        <w:rFonts w:hint="default" w:ascii="Symbol" w:hAnsi="Symbol"/>
        <w:b w:val="0"/>
        <w:i w:val="0"/>
        <w:caps w:val="0"/>
        <w:strike w:val="0"/>
        <w:vanish w:val="0"/>
        <w:color w:val="000000"/>
        <w:sz w:val="24"/>
        <w:u w:val="none"/>
        <w:vertAlign w:val="baseline"/>
      </w:rPr>
    </w:lvl>
    <w:lvl w:ilvl="1">
      <w:start w:val="1"/>
      <w:numFmt w:val="none"/>
      <w:pStyle w:val="1636"/>
      <w:isLgl w:val="false"/>
      <w:suff w:val="tab"/>
      <w:lvlText w:val="-"/>
      <w:lvlJc w:val="left"/>
      <w:pPr>
        <w:ind w:left="1134" w:firstLine="0"/>
        <w:tabs>
          <w:tab w:val="num" w:pos="1559" w:leader="none"/>
        </w:tabs>
      </w:pPr>
      <w:rPr>
        <w:rFonts w:hint="default" w:ascii="Times New Roman" w:hAnsi="Times New Roman"/>
        <w:b w:val="0"/>
        <w:i w:val="0"/>
        <w:caps w:val="0"/>
        <w:strike w:val="0"/>
        <w:vanish w:val="0"/>
        <w:color w:val="000000"/>
        <w:sz w:val="24"/>
        <w:u w:val="none"/>
        <w:vertAlign w:val="baseline"/>
      </w:rPr>
    </w:lvl>
    <w:lvl w:ilvl="2">
      <w:start w:val="1"/>
      <w:numFmt w:val="none"/>
      <w:pStyle w:val="1637"/>
      <w:isLgl w:val="false"/>
      <w:suff w:val="tab"/>
      <w:lvlText w:val="-"/>
      <w:lvlJc w:val="left"/>
      <w:pPr>
        <w:ind w:left="1559" w:firstLine="0"/>
        <w:tabs>
          <w:tab w:val="num" w:pos="1985" w:leader="none"/>
        </w:tabs>
      </w:pPr>
      <w:rPr>
        <w:rFonts w:hint="default" w:ascii="Times New Roman" w:hAnsi="Times New Roman"/>
        <w:b w:val="0"/>
        <w:i w:val="0"/>
        <w:caps w:val="0"/>
        <w:strike w:val="0"/>
        <w:vanish w:val="0"/>
        <w:color w:val="000000"/>
        <w:sz w:val="24"/>
        <w:u w:val="none"/>
        <w:vertAlign w:val="baseline"/>
      </w:rPr>
    </w:lvl>
    <w:lvl w:ilvl="3">
      <w:start w:val="1"/>
      <w:numFmt w:val="bullet"/>
      <w:isLgl w:val="false"/>
      <w:suff w:val="tab"/>
      <w:lvlText w:val=""/>
      <w:lvlJc w:val="left"/>
      <w:pPr>
        <w:ind w:left="3229" w:hanging="360"/>
      </w:pPr>
      <w:rPr>
        <w:rFonts w:hint="default" w:ascii="Symbol" w:hAnsi="Symbol"/>
      </w:rPr>
    </w:lvl>
    <w:lvl w:ilvl="4">
      <w:start w:val="1"/>
      <w:numFmt w:val="bullet"/>
      <w:isLgl w:val="false"/>
      <w:suff w:val="tab"/>
      <w:lvlText w:val="o"/>
      <w:lvlJc w:val="left"/>
      <w:pPr>
        <w:ind w:left="3949" w:hanging="360"/>
      </w:pPr>
      <w:rPr>
        <w:rFonts w:hint="default" w:ascii="Courier New" w:hAnsi="Courier New" w:cs="Courier New"/>
      </w:rPr>
    </w:lvl>
    <w:lvl w:ilvl="5">
      <w:start w:val="1"/>
      <w:numFmt w:val="bullet"/>
      <w:isLgl w:val="false"/>
      <w:suff w:val="tab"/>
      <w:lvlText w:val=""/>
      <w:lvlJc w:val="left"/>
      <w:pPr>
        <w:ind w:left="4669" w:hanging="360"/>
      </w:pPr>
      <w:rPr>
        <w:rFonts w:hint="default" w:ascii="Wingdings" w:hAnsi="Wingdings"/>
      </w:rPr>
    </w:lvl>
    <w:lvl w:ilvl="6">
      <w:start w:val="1"/>
      <w:numFmt w:val="bullet"/>
      <w:isLgl w:val="false"/>
      <w:suff w:val="tab"/>
      <w:lvlText w:val=""/>
      <w:lvlJc w:val="left"/>
      <w:pPr>
        <w:ind w:left="5389" w:hanging="360"/>
      </w:pPr>
      <w:rPr>
        <w:rFonts w:hint="default" w:ascii="Symbol" w:hAnsi="Symbol"/>
      </w:rPr>
    </w:lvl>
    <w:lvl w:ilvl="7">
      <w:start w:val="1"/>
      <w:numFmt w:val="bullet"/>
      <w:isLgl w:val="false"/>
      <w:suff w:val="tab"/>
      <w:lvlText w:val="o"/>
      <w:lvlJc w:val="left"/>
      <w:pPr>
        <w:ind w:left="6109" w:hanging="360"/>
      </w:pPr>
      <w:rPr>
        <w:rFonts w:hint="default" w:ascii="Courier New" w:hAnsi="Courier New" w:cs="Courier New"/>
      </w:rPr>
    </w:lvl>
    <w:lvl w:ilvl="8">
      <w:start w:val="1"/>
      <w:numFmt w:val="bullet"/>
      <w:isLgl w:val="false"/>
      <w:suff w:val="tab"/>
      <w:lvlText w:val=""/>
      <w:lvlJc w:val="left"/>
      <w:pPr>
        <w:ind w:left="6829" w:hanging="360"/>
      </w:pPr>
      <w:rPr>
        <w:rFonts w:hint="default" w:ascii="Wingdings" w:hAnsi="Wingdings"/>
      </w:rPr>
    </w:lvl>
  </w:abstractNum>
  <w:abstractNum w:abstractNumId="131">
    <w:multiLevelType w:val="hybridMultilevel"/>
    <w:lvl w:ilvl="0">
      <w:start w:val="1"/>
      <w:numFmt w:val="decimal"/>
      <w:pStyle w:val="2270"/>
      <w:isLgl w:val="false"/>
      <w:suff w:val="tab"/>
      <w:lvlText w:val="%1"/>
      <w:lvlJc w:val="left"/>
      <w:pPr>
        <w:ind w:left="698" w:hanging="432"/>
        <w:tabs>
          <w:tab w:val="num" w:pos="698" w:leader="none"/>
        </w:tabs>
      </w:pPr>
      <w:rPr>
        <w:rFonts w:hint="default" w:cs="Times New Roman"/>
      </w:rPr>
    </w:lvl>
    <w:lvl w:ilvl="1">
      <w:start w:val="1"/>
      <w:numFmt w:val="decimal"/>
      <w:isLgl w:val="false"/>
      <w:suff w:val="tab"/>
      <w:lvlText w:val="%1.%2"/>
      <w:lvlJc w:val="left"/>
      <w:pPr>
        <w:ind w:left="1022" w:hanging="576"/>
        <w:tabs>
          <w:tab w:val="num" w:pos="1022" w:leader="none"/>
        </w:tabs>
      </w:pPr>
      <w:rPr>
        <w:rFonts w:hint="default" w:cs="Times New Roman"/>
      </w:rPr>
    </w:lvl>
    <w:lvl w:ilvl="2">
      <w:start w:val="1"/>
      <w:numFmt w:val="decimal"/>
      <w:isLgl w:val="false"/>
      <w:suff w:val="tab"/>
      <w:lvlText w:val="%1.%2.%3"/>
      <w:lvlJc w:val="left"/>
      <w:pPr>
        <w:ind w:left="1173" w:hanging="907"/>
        <w:tabs>
          <w:tab w:val="num" w:pos="1173" w:leader="none"/>
        </w:tabs>
      </w:pPr>
      <w:rPr>
        <w:rFonts w:hint="default" w:cs="Times New Roman"/>
      </w:rPr>
    </w:lvl>
    <w:lvl w:ilvl="3">
      <w:start w:val="1"/>
      <w:numFmt w:val="decimal"/>
      <w:isLgl w:val="false"/>
      <w:suff w:val="tab"/>
      <w:lvlText w:val="%1.%2.%3.%4"/>
      <w:lvlJc w:val="left"/>
      <w:pPr>
        <w:ind w:left="1130" w:hanging="864"/>
        <w:tabs>
          <w:tab w:val="num" w:pos="1130" w:leader="none"/>
        </w:tabs>
      </w:pPr>
      <w:rPr>
        <w:rFonts w:hint="default" w:ascii="Times New Roman" w:hAnsi="Times New Roman" w:cs="Times New Roman"/>
        <w:b w:val="0"/>
        <w:bCs w:val="0"/>
        <w:i w:val="0"/>
        <w:iCs w:val="0"/>
        <w:sz w:val="24"/>
        <w:szCs w:val="24"/>
      </w:rPr>
    </w:lvl>
    <w:lvl w:ilvl="4">
      <w:start w:val="1"/>
      <w:numFmt w:val="decimal"/>
      <w:pStyle w:val="2269"/>
      <w:isLgl w:val="false"/>
      <w:suff w:val="tab"/>
      <w:lvlText w:val="%1.%2.%3.%4.%5"/>
      <w:lvlJc w:val="left"/>
      <w:pPr>
        <w:ind w:left="1144" w:hanging="964"/>
        <w:tabs>
          <w:tab w:val="num" w:pos="1144" w:leader="none"/>
        </w:tabs>
      </w:pPr>
      <w:rPr>
        <w:rFonts w:hint="default" w:ascii="Times New Roman" w:hAnsi="Times New Roman" w:cs="Times New Roman"/>
        <w:b w:val="0"/>
        <w:bCs w:val="0"/>
        <w:sz w:val="24"/>
        <w:szCs w:val="24"/>
      </w:rPr>
    </w:lvl>
    <w:lvl w:ilvl="5">
      <w:start w:val="1"/>
      <w:numFmt w:val="decimal"/>
      <w:isLgl w:val="false"/>
      <w:suff w:val="tab"/>
      <w:lvlText w:val="%1.%2.%3.%4.%5.%6"/>
      <w:lvlJc w:val="left"/>
      <w:pPr>
        <w:ind w:left="1418" w:hanging="1152"/>
        <w:tabs>
          <w:tab w:val="num" w:pos="1418" w:leader="none"/>
        </w:tabs>
      </w:pPr>
      <w:rPr>
        <w:rFonts w:hint="default" w:ascii="Times New Roman" w:hAnsi="Times New Roman" w:cs="Times New Roman"/>
        <w:b w:val="0"/>
        <w:bCs w:val="0"/>
        <w:i w:val="0"/>
        <w:iCs w:val="0"/>
        <w:sz w:val="24"/>
        <w:szCs w:val="24"/>
      </w:rPr>
    </w:lvl>
    <w:lvl w:ilvl="6">
      <w:start w:val="1"/>
      <w:numFmt w:val="decimal"/>
      <w:isLgl w:val="false"/>
      <w:suff w:val="tab"/>
      <w:lvlText w:val="%1.%2.%3.%4.%5.%6.%7"/>
      <w:lvlJc w:val="left"/>
      <w:pPr>
        <w:ind w:left="1562" w:hanging="1296"/>
        <w:tabs>
          <w:tab w:val="num" w:pos="1562" w:leader="none"/>
        </w:tabs>
      </w:pPr>
      <w:rPr>
        <w:rFonts w:hint="default" w:cs="Times New Roman"/>
      </w:rPr>
    </w:lvl>
    <w:lvl w:ilvl="7">
      <w:start w:val="1"/>
      <w:numFmt w:val="decimal"/>
      <w:isLgl w:val="false"/>
      <w:suff w:val="tab"/>
      <w:lvlText w:val="%1.%2.%3.%4.%5.%6.%7.%8"/>
      <w:lvlJc w:val="left"/>
      <w:pPr>
        <w:ind w:left="1706" w:hanging="1440"/>
        <w:tabs>
          <w:tab w:val="num" w:pos="1706" w:leader="none"/>
        </w:tabs>
      </w:pPr>
      <w:rPr>
        <w:rFonts w:hint="default" w:cs="Times New Roman"/>
      </w:rPr>
    </w:lvl>
    <w:lvl w:ilvl="8">
      <w:start w:val="1"/>
      <w:numFmt w:val="decimal"/>
      <w:isLgl w:val="false"/>
      <w:suff w:val="tab"/>
      <w:lvlText w:val="%1.%2.%3.%4.%5.%6.%7.%8.%9"/>
      <w:lvlJc w:val="left"/>
      <w:pPr>
        <w:ind w:left="1850" w:hanging="1584"/>
        <w:tabs>
          <w:tab w:val="num" w:pos="1850" w:leader="none"/>
        </w:tabs>
      </w:pPr>
      <w:rPr>
        <w:rFonts w:hint="default" w:cs="Times New Roman"/>
      </w:rPr>
    </w:lvl>
  </w:abstractNum>
  <w:abstractNum w:abstractNumId="132">
    <w:multiLevelType w:val="hybridMultilevel"/>
    <w:lvl w:ilvl="0">
      <w:start w:val="1"/>
      <w:numFmt w:val="decimal"/>
      <w:pStyle w:val="1957"/>
      <w:isLgl w:val="false"/>
      <w:suff w:val="tab"/>
      <w:lvlText w:val="%1."/>
      <w:lvlJc w:val="left"/>
      <w:pPr>
        <w:ind w:left="360" w:hanging="360"/>
        <w:tabs>
          <w:tab w:val="num" w:pos="360" w:leader="none"/>
        </w:tabs>
      </w:pPr>
    </w:lvl>
    <w:lvl w:ilvl="1">
      <w:start w:val="1"/>
      <w:numFmt w:val="decimal"/>
      <w:isLgl w:val="false"/>
      <w:suff w:val="tab"/>
      <w:lvlText w:val="%1.%2."/>
      <w:lvlJc w:val="left"/>
      <w:pPr>
        <w:ind w:left="720" w:hanging="720"/>
        <w:tabs>
          <w:tab w:val="num" w:pos="720" w:leader="none"/>
        </w:tabs>
      </w:pPr>
      <w:rPr>
        <w:rFonts w:hint="default" w:ascii="Times New Roman" w:hAnsi="Times New Roman"/>
        <w:b w:val="0"/>
        <w:i w:val="0"/>
        <w:sz w:val="24"/>
      </w:rPr>
    </w:lvl>
    <w:lvl w:ilvl="2">
      <w:start w:val="1"/>
      <w:numFmt w:val="decimal"/>
      <w:isLgl w:val="false"/>
      <w:suff w:val="tab"/>
      <w:lvlText w:val="%1.%2.%3."/>
      <w:lvlJc w:val="left"/>
      <w:pPr>
        <w:ind w:left="1418" w:hanging="698"/>
        <w:tabs>
          <w:tab w:val="num" w:pos="1418" w:leader="none"/>
        </w:tabs>
      </w:pPr>
    </w:lvl>
    <w:lvl w:ilvl="3">
      <w:start w:val="1"/>
      <w:numFmt w:val="decimal"/>
      <w:isLgl w:val="false"/>
      <w:suff w:val="tab"/>
      <w:lvlText w:val="%1.%2.%3.%4."/>
      <w:lvlJc w:val="left"/>
      <w:pPr>
        <w:ind w:left="1728" w:hanging="648"/>
        <w:tabs>
          <w:tab w:val="num" w:pos="1800" w:leader="none"/>
        </w:tabs>
      </w:pPr>
    </w:lvl>
    <w:lvl w:ilvl="4">
      <w:start w:val="1"/>
      <w:numFmt w:val="decimal"/>
      <w:isLgl w:val="false"/>
      <w:suff w:val="tab"/>
      <w:lvlText w:val="%1.%2.%3.%4.%5."/>
      <w:lvlJc w:val="left"/>
      <w:pPr>
        <w:ind w:left="2232" w:hanging="792"/>
        <w:tabs>
          <w:tab w:val="num" w:pos="2520" w:leader="none"/>
        </w:tabs>
      </w:pPr>
    </w:lvl>
    <w:lvl w:ilvl="5">
      <w:start w:val="1"/>
      <w:numFmt w:val="decimal"/>
      <w:isLgl w:val="false"/>
      <w:suff w:val="tab"/>
      <w:lvlText w:val="%1.%2.%3.%4.%5.%6."/>
      <w:lvlJc w:val="left"/>
      <w:pPr>
        <w:ind w:left="2736" w:hanging="936"/>
        <w:tabs>
          <w:tab w:val="num" w:pos="2880" w:leader="none"/>
        </w:tabs>
      </w:pPr>
    </w:lvl>
    <w:lvl w:ilvl="6">
      <w:start w:val="1"/>
      <w:numFmt w:val="decimal"/>
      <w:isLgl w:val="false"/>
      <w:suff w:val="tab"/>
      <w:lvlText w:val="%1.%2.%3.%4.%5.%6.%7."/>
      <w:lvlJc w:val="left"/>
      <w:pPr>
        <w:ind w:left="3240" w:hanging="1080"/>
        <w:tabs>
          <w:tab w:val="num" w:pos="3600" w:leader="none"/>
        </w:tabs>
      </w:pPr>
    </w:lvl>
    <w:lvl w:ilvl="7">
      <w:start w:val="1"/>
      <w:numFmt w:val="decimal"/>
      <w:isLgl w:val="false"/>
      <w:suff w:val="tab"/>
      <w:lvlText w:val="%1.%2.%3.%4.%5.%6.%7.%8."/>
      <w:lvlJc w:val="left"/>
      <w:pPr>
        <w:ind w:left="3744" w:hanging="1224"/>
        <w:tabs>
          <w:tab w:val="num" w:pos="3960" w:leader="none"/>
        </w:tabs>
      </w:pPr>
    </w:lvl>
    <w:lvl w:ilvl="8">
      <w:start w:val="1"/>
      <w:numFmt w:val="decimal"/>
      <w:isLgl w:val="false"/>
      <w:suff w:val="tab"/>
      <w:lvlText w:val="%1.%2.%3.%4.%5.%6.%7.%8.%9."/>
      <w:lvlJc w:val="left"/>
      <w:pPr>
        <w:ind w:left="4320" w:hanging="1440"/>
        <w:tabs>
          <w:tab w:val="num" w:pos="4680" w:leader="none"/>
        </w:tabs>
      </w:pPr>
    </w:lvl>
  </w:abstractNum>
  <w:abstractNum w:abstractNumId="133">
    <w:multiLevelType w:val="hybridMultilevel"/>
    <w:lvl w:ilvl="0">
      <w:start w:val="1"/>
      <w:numFmt w:val="bullet"/>
      <w:isLgl w:val="false"/>
      <w:suff w:val="tab"/>
      <w:lvlText w:val="-"/>
      <w:lvlJc w:val="left"/>
      <w:pPr>
        <w:ind w:left="1276" w:hanging="283"/>
        <w:tabs>
          <w:tab w:val="num" w:pos="1276" w:leader="none"/>
        </w:tabs>
      </w:pPr>
      <w:rPr>
        <w:rFonts w:hint="default" w:ascii="Courier New" w:hAnsi="Courier New"/>
      </w:rPr>
    </w:lvl>
    <w:lvl w:ilvl="1">
      <w:start w:val="1"/>
      <w:numFmt w:val="bullet"/>
      <w:pStyle w:val="1960"/>
      <w:isLgl w:val="false"/>
      <w:suff w:val="tab"/>
      <w:lvlText w:val="­"/>
      <w:lvlJc w:val="left"/>
      <w:pPr>
        <w:ind w:left="2149" w:hanging="360"/>
        <w:tabs>
          <w:tab w:val="num" w:pos="2149" w:leader="none"/>
        </w:tabs>
      </w:pPr>
      <w:rPr>
        <w:rFonts w:hint="default" w:ascii="Courier New" w:hAnsi="Courier New"/>
      </w:rPr>
    </w:lvl>
    <w:lvl w:ilvl="2">
      <w:start w:val="1"/>
      <w:numFmt w:val="bullet"/>
      <w:isLgl w:val="false"/>
      <w:suff w:val="tab"/>
      <w:lvlText w:val=""/>
      <w:lvlJc w:val="left"/>
      <w:pPr>
        <w:ind w:left="2869" w:hanging="360"/>
        <w:tabs>
          <w:tab w:val="num" w:pos="2869" w:leader="none"/>
        </w:tabs>
      </w:pPr>
      <w:rPr>
        <w:rFonts w:hint="default" w:ascii="Wingdings" w:hAnsi="Wingdings"/>
      </w:rPr>
    </w:lvl>
    <w:lvl w:ilvl="3">
      <w:start w:val="1"/>
      <w:numFmt w:val="bullet"/>
      <w:isLgl w:val="false"/>
      <w:suff w:val="tab"/>
      <w:lvlText w:val=""/>
      <w:lvlJc w:val="left"/>
      <w:pPr>
        <w:ind w:left="3589" w:hanging="360"/>
        <w:tabs>
          <w:tab w:val="num" w:pos="3589" w:leader="none"/>
        </w:tabs>
      </w:pPr>
      <w:rPr>
        <w:rFonts w:hint="default" w:ascii="Symbol" w:hAnsi="Symbol"/>
      </w:rPr>
    </w:lvl>
    <w:lvl w:ilvl="4">
      <w:start w:val="1"/>
      <w:numFmt w:val="bullet"/>
      <w:isLgl w:val="false"/>
      <w:suff w:val="tab"/>
      <w:lvlText w:val="o"/>
      <w:lvlJc w:val="left"/>
      <w:pPr>
        <w:ind w:left="4309" w:hanging="360"/>
        <w:tabs>
          <w:tab w:val="num" w:pos="4309" w:leader="none"/>
        </w:tabs>
      </w:pPr>
      <w:rPr>
        <w:rFonts w:hint="default" w:ascii="Courier New" w:hAnsi="Courier New" w:cs="Courier New"/>
      </w:rPr>
    </w:lvl>
    <w:lvl w:ilvl="5">
      <w:start w:val="1"/>
      <w:numFmt w:val="bullet"/>
      <w:isLgl w:val="false"/>
      <w:suff w:val="tab"/>
      <w:lvlText w:val=""/>
      <w:lvlJc w:val="left"/>
      <w:pPr>
        <w:ind w:left="5029" w:hanging="360"/>
        <w:tabs>
          <w:tab w:val="num" w:pos="5029" w:leader="none"/>
        </w:tabs>
      </w:pPr>
      <w:rPr>
        <w:rFonts w:hint="default" w:ascii="Wingdings" w:hAnsi="Wingdings"/>
      </w:rPr>
    </w:lvl>
    <w:lvl w:ilvl="6">
      <w:start w:val="1"/>
      <w:numFmt w:val="bullet"/>
      <w:isLgl w:val="false"/>
      <w:suff w:val="tab"/>
      <w:lvlText w:val=""/>
      <w:lvlJc w:val="left"/>
      <w:pPr>
        <w:ind w:left="5749" w:hanging="360"/>
        <w:tabs>
          <w:tab w:val="num" w:pos="5749" w:leader="none"/>
        </w:tabs>
      </w:pPr>
      <w:rPr>
        <w:rFonts w:hint="default" w:ascii="Symbol" w:hAnsi="Symbol"/>
      </w:rPr>
    </w:lvl>
    <w:lvl w:ilvl="7">
      <w:start w:val="1"/>
      <w:numFmt w:val="bullet"/>
      <w:isLgl w:val="false"/>
      <w:suff w:val="tab"/>
      <w:lvlText w:val="o"/>
      <w:lvlJc w:val="left"/>
      <w:pPr>
        <w:ind w:left="6469" w:hanging="360"/>
        <w:tabs>
          <w:tab w:val="num" w:pos="6469" w:leader="none"/>
        </w:tabs>
      </w:pPr>
      <w:rPr>
        <w:rFonts w:hint="default" w:ascii="Courier New" w:hAnsi="Courier New" w:cs="Courier New"/>
      </w:rPr>
    </w:lvl>
    <w:lvl w:ilvl="8">
      <w:start w:val="1"/>
      <w:numFmt w:val="bullet"/>
      <w:isLgl w:val="false"/>
      <w:suff w:val="tab"/>
      <w:lvlText w:val=""/>
      <w:lvlJc w:val="left"/>
      <w:pPr>
        <w:ind w:left="7189" w:hanging="360"/>
        <w:tabs>
          <w:tab w:val="num" w:pos="7189" w:leader="none"/>
        </w:tabs>
      </w:pPr>
      <w:rPr>
        <w:rFonts w:hint="default" w:ascii="Wingdings" w:hAnsi="Wingdings"/>
      </w:rPr>
    </w:lvl>
  </w:abstractNum>
  <w:abstractNum w:abstractNumId="134">
    <w:multiLevelType w:val="hybridMultilevel"/>
    <w:styleLink w:val="1868"/>
    <w:lvl w:ilvl="0">
      <w:start w:val="1"/>
      <w:numFmt w:val="decimal"/>
      <w:pStyle w:val="1868"/>
      <w:isLgl w:val="false"/>
      <w:suff w:val="tab"/>
      <w:lvlText w:val="A3.%1."/>
      <w:lvlJc w:val="left"/>
      <w:pPr>
        <w:ind w:left="615" w:hanging="360"/>
      </w:pPr>
      <w:rPr>
        <w:rFonts w:hint="default" w:ascii="Times New Roman" w:hAnsi="Times New Roman" w:cs="Times New Roman"/>
        <w:b w:val="0"/>
        <w:bCs w:val="0"/>
        <w:i w:val="0"/>
        <w:iCs w:val="0"/>
        <w:caps w:val="0"/>
        <w:smallCaps w:val="0"/>
        <w:strike w:val="0"/>
        <w:vanish w:val="0"/>
        <w:color w:val="000000"/>
        <w:spacing w:val="0"/>
        <w:position w:val="0"/>
        <w:sz w:val="24"/>
        <w:szCs w:val="24"/>
        <w:u w:val="none"/>
        <w:vertAlign w:val="baseline"/>
      </w:rPr>
    </w:lvl>
    <w:lvl w:ilvl="1">
      <w:start w:val="1"/>
      <w:numFmt w:val="lowerLetter"/>
      <w:isLgl w:val="false"/>
      <w:suff w:val="tab"/>
      <w:lvlText w:val="%2."/>
      <w:lvlJc w:val="left"/>
      <w:pPr>
        <w:ind w:left="1335" w:hanging="360"/>
      </w:pPr>
      <w:rPr>
        <w:rFonts w:hint="default" w:cs="Times New Roman"/>
      </w:rPr>
    </w:lvl>
    <w:lvl w:ilvl="2">
      <w:start w:val="1"/>
      <w:numFmt w:val="lowerRoman"/>
      <w:isLgl w:val="false"/>
      <w:suff w:val="tab"/>
      <w:lvlText w:val="%3."/>
      <w:lvlJc w:val="right"/>
      <w:pPr>
        <w:ind w:left="2055" w:hanging="180"/>
      </w:pPr>
      <w:rPr>
        <w:rFonts w:hint="default" w:cs="Times New Roman"/>
      </w:rPr>
    </w:lvl>
    <w:lvl w:ilvl="3">
      <w:start w:val="1"/>
      <w:numFmt w:val="decimal"/>
      <w:isLgl w:val="false"/>
      <w:suff w:val="tab"/>
      <w:lvlText w:val="%4."/>
      <w:lvlJc w:val="left"/>
      <w:pPr>
        <w:ind w:left="2775" w:hanging="360"/>
      </w:pPr>
      <w:rPr>
        <w:rFonts w:hint="default" w:cs="Times New Roman"/>
      </w:rPr>
    </w:lvl>
    <w:lvl w:ilvl="4">
      <w:start w:val="1"/>
      <w:numFmt w:val="lowerLetter"/>
      <w:isLgl w:val="false"/>
      <w:suff w:val="tab"/>
      <w:lvlText w:val="%5."/>
      <w:lvlJc w:val="left"/>
      <w:pPr>
        <w:ind w:left="3495" w:hanging="360"/>
      </w:pPr>
      <w:rPr>
        <w:rFonts w:hint="default" w:cs="Times New Roman"/>
      </w:rPr>
    </w:lvl>
    <w:lvl w:ilvl="5">
      <w:start w:val="1"/>
      <w:numFmt w:val="lowerRoman"/>
      <w:isLgl w:val="false"/>
      <w:suff w:val="tab"/>
      <w:lvlText w:val="%6."/>
      <w:lvlJc w:val="right"/>
      <w:pPr>
        <w:ind w:left="4215" w:hanging="180"/>
      </w:pPr>
      <w:rPr>
        <w:rFonts w:hint="default" w:cs="Times New Roman"/>
      </w:rPr>
    </w:lvl>
    <w:lvl w:ilvl="6">
      <w:start w:val="1"/>
      <w:numFmt w:val="decimal"/>
      <w:isLgl w:val="false"/>
      <w:suff w:val="tab"/>
      <w:lvlText w:val="%7."/>
      <w:lvlJc w:val="left"/>
      <w:pPr>
        <w:ind w:left="4935" w:hanging="360"/>
      </w:pPr>
      <w:rPr>
        <w:rFonts w:hint="default" w:cs="Times New Roman"/>
      </w:rPr>
    </w:lvl>
    <w:lvl w:ilvl="7">
      <w:start w:val="1"/>
      <w:numFmt w:val="lowerLetter"/>
      <w:isLgl w:val="false"/>
      <w:suff w:val="tab"/>
      <w:lvlText w:val="%8."/>
      <w:lvlJc w:val="left"/>
      <w:pPr>
        <w:ind w:left="5655" w:hanging="360"/>
      </w:pPr>
      <w:rPr>
        <w:rFonts w:hint="default" w:cs="Times New Roman"/>
      </w:rPr>
    </w:lvl>
    <w:lvl w:ilvl="8">
      <w:start w:val="1"/>
      <w:numFmt w:val="lowerRoman"/>
      <w:isLgl w:val="false"/>
      <w:suff w:val="tab"/>
      <w:lvlText w:val="%9."/>
      <w:lvlJc w:val="right"/>
      <w:pPr>
        <w:ind w:left="6375" w:hanging="180"/>
      </w:pPr>
      <w:rPr>
        <w:rFonts w:hint="default" w:cs="Times New Roman"/>
      </w:rPr>
    </w:lvl>
  </w:abstractNum>
  <w:abstractNum w:abstractNumId="135">
    <w:multiLevelType w:val="hybridMultilevel"/>
    <w:lvl w:ilvl="0">
      <w:start w:val="1"/>
      <w:numFmt w:val="decimal"/>
      <w:isLgl w:val="false"/>
      <w:suff w:val="tab"/>
      <w:lvlText w:val="%1."/>
      <w:lvlJc w:val="left"/>
      <w:pPr>
        <w:ind w:left="57" w:firstLine="57"/>
        <w:tabs>
          <w:tab w:val="num" w:pos="114" w:leader="none"/>
        </w:tabs>
      </w:pPr>
      <w:rPr>
        <w:rFonts w:hint="default" w:ascii="Times New Roman" w:hAnsi="Times New Roman" w:cs="Times New Roman"/>
        <w:b w:val="0"/>
        <w:bCs w:val="0"/>
        <w:i w:val="0"/>
        <w:iCs w:val="0"/>
        <w:caps w:val="0"/>
        <w:smallCaps w:val="0"/>
        <w:strike w:val="0"/>
        <w:vanish w:val="0"/>
        <w:spacing w:val="0"/>
        <w:position w:val="0"/>
        <w:u w:val="none"/>
        <w:vertAlign w:val="baseline"/>
      </w:r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136">
    <w:multiLevelType w:val="hybridMultilevel"/>
    <w:lvl w:ilvl="0">
      <w:start w:val="1"/>
      <w:numFmt w:val="decimal"/>
      <w:pStyle w:val="2252"/>
      <w:isLgl w:val="false"/>
      <w:suff w:val="tab"/>
      <w:lvlText w:val="%1"/>
      <w:lvlJc w:val="left"/>
      <w:pPr>
        <w:ind w:left="720" w:firstLine="0"/>
        <w:tabs>
          <w:tab w:val="num" w:pos="0" w:leader="none"/>
        </w:tabs>
      </w:pPr>
      <w:rPr>
        <w:rFonts w:hint="default"/>
      </w:rPr>
    </w:lvl>
    <w:lvl w:ilvl="1">
      <w:start w:val="1"/>
      <w:numFmt w:val="decimal"/>
      <w:pStyle w:val="2254"/>
      <w:isLgl w:val="false"/>
      <w:suff w:val="tab"/>
      <w:lvlText w:val="%1.%2"/>
      <w:lvlJc w:val="left"/>
      <w:pPr>
        <w:ind w:left="720" w:firstLine="0"/>
        <w:tabs>
          <w:tab w:val="num" w:pos="0" w:leader="none"/>
        </w:tabs>
      </w:pPr>
      <w:rPr>
        <w:rFonts w:hint="default"/>
      </w:rPr>
    </w:lvl>
    <w:lvl w:ilvl="2">
      <w:start w:val="1"/>
      <w:numFmt w:val="decimal"/>
      <w:pStyle w:val="2253"/>
      <w:isLgl w:val="false"/>
      <w:suff w:val="tab"/>
      <w:lvlText w:val="%1.%2.%3"/>
      <w:lvlJc w:val="left"/>
      <w:pPr>
        <w:ind w:left="720" w:firstLine="0"/>
        <w:tabs>
          <w:tab w:val="num" w:pos="0" w:leader="none"/>
        </w:tabs>
      </w:pPr>
      <w:rPr>
        <w:rFonts w:hint="default"/>
      </w:rPr>
    </w:lvl>
    <w:lvl w:ilvl="3">
      <w:start w:val="1"/>
      <w:numFmt w:val="decimal"/>
      <w:pStyle w:val="2256"/>
      <w:isLgl w:val="false"/>
      <w:suff w:val="tab"/>
      <w:lvlText w:val="%1.%2.%3.%4"/>
      <w:lvlJc w:val="left"/>
      <w:pPr>
        <w:ind w:left="0" w:firstLine="720"/>
        <w:tabs>
          <w:tab w:val="num" w:pos="0" w:leader="none"/>
        </w:tabs>
      </w:pPr>
      <w:rPr>
        <w:rFonts w:hint="default"/>
      </w:rPr>
    </w:lvl>
    <w:lvl w:ilvl="4">
      <w:start w:val="1"/>
      <w:numFmt w:val="decimal"/>
      <w:lvlRestart w:val="1"/>
      <w:pStyle w:val="2255"/>
      <w:isLgl w:val="false"/>
      <w:suff w:val="tab"/>
      <w:lvlText w:val="%1.%5"/>
      <w:lvlJc w:val="left"/>
      <w:pPr>
        <w:ind w:left="0" w:firstLine="720"/>
        <w:tabs>
          <w:tab w:val="num" w:pos="720" w:leader="none"/>
        </w:tabs>
      </w:pPr>
      <w:rPr>
        <w:rFonts w:hint="default"/>
      </w:rPr>
    </w:lvl>
    <w:lvl w:ilvl="5">
      <w:start w:val="1"/>
      <w:numFmt w:val="decimal"/>
      <w:isLgl w:val="false"/>
      <w:suff w:val="tab"/>
      <w:lvlText w:val="%1.%2.%3.%4.%5.%6"/>
      <w:lvlJc w:val="left"/>
      <w:pPr>
        <w:ind w:left="3306" w:hanging="1152"/>
        <w:tabs>
          <w:tab w:val="num" w:pos="3306" w:leader="none"/>
        </w:tabs>
      </w:pPr>
      <w:rPr>
        <w:rFonts w:hint="default"/>
      </w:rPr>
    </w:lvl>
    <w:lvl w:ilvl="6">
      <w:start w:val="1"/>
      <w:numFmt w:val="decimal"/>
      <w:isLgl w:val="false"/>
      <w:suff w:val="tab"/>
      <w:lvlText w:val="%1.%2.%3.%4.%5.%6.%7"/>
      <w:lvlJc w:val="left"/>
      <w:pPr>
        <w:ind w:left="3450" w:hanging="1296"/>
        <w:tabs>
          <w:tab w:val="num" w:pos="3450" w:leader="none"/>
        </w:tabs>
      </w:pPr>
      <w:rPr>
        <w:rFonts w:hint="default"/>
      </w:rPr>
    </w:lvl>
    <w:lvl w:ilvl="7">
      <w:start w:val="1"/>
      <w:numFmt w:val="decimal"/>
      <w:isLgl w:val="false"/>
      <w:suff w:val="tab"/>
      <w:lvlText w:val="%1.%2.%3.%4.%5.%6.%7.%8"/>
      <w:lvlJc w:val="left"/>
      <w:pPr>
        <w:ind w:left="3594" w:hanging="1440"/>
        <w:tabs>
          <w:tab w:val="num" w:pos="3594" w:leader="none"/>
        </w:tabs>
      </w:pPr>
      <w:rPr>
        <w:rFonts w:hint="default"/>
      </w:rPr>
    </w:lvl>
    <w:lvl w:ilvl="8">
      <w:start w:val="1"/>
      <w:numFmt w:val="decimal"/>
      <w:isLgl w:val="false"/>
      <w:suff w:val="tab"/>
      <w:lvlText w:val="%1.%2.%3.%4.%5.%6.%7.%8.%9"/>
      <w:lvlJc w:val="left"/>
      <w:pPr>
        <w:ind w:left="3738" w:hanging="1584"/>
        <w:tabs>
          <w:tab w:val="num" w:pos="3738" w:leader="none"/>
        </w:tabs>
      </w:pPr>
      <w:rPr>
        <w:rFonts w:hint="default"/>
      </w:rPr>
    </w:lvl>
  </w:abstractNum>
  <w:num w:numId="1">
    <w:abstractNumId w:val="74"/>
  </w:num>
  <w:num w:numId="2">
    <w:abstractNumId w:val="49"/>
  </w:num>
  <w:num w:numId="3">
    <w:abstractNumId w:val="9"/>
  </w:num>
  <w:num w:numId="4">
    <w:abstractNumId w:val="8"/>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41"/>
  </w:num>
  <w:num w:numId="13">
    <w:abstractNumId w:val="7"/>
  </w:num>
  <w:num w:numId="14">
    <w:abstractNumId w:val="88"/>
  </w:num>
  <w:num w:numId="15">
    <w:abstractNumId w:val="125"/>
  </w:num>
  <w:num w:numId="16">
    <w:abstractNumId w:val="82"/>
  </w:num>
  <w:num w:numId="17">
    <w:abstractNumId w:val="52"/>
  </w:num>
  <w:num w:numId="18">
    <w:abstractNumId w:val="83"/>
  </w:num>
  <w:num w:numId="19">
    <w:abstractNumId w:val="91"/>
  </w:num>
  <w:num w:numId="20">
    <w:abstractNumId w:val="107"/>
  </w:num>
  <w:num w:numId="21">
    <w:abstractNumId w:val="86"/>
  </w:num>
  <w:num w:numId="22">
    <w:abstractNumId w:val="85"/>
  </w:num>
  <w:num w:numId="23">
    <w:abstractNumId w:val="16"/>
  </w:num>
  <w:num w:numId="24">
    <w:abstractNumId w:val="14"/>
  </w:num>
  <w:num w:numId="25">
    <w:abstractNumId w:val="11"/>
  </w:num>
  <w:num w:numId="26">
    <w:abstractNumId w:val="56"/>
  </w:num>
  <w:num w:numId="27">
    <w:abstractNumId w:val="42"/>
  </w:num>
  <w:num w:numId="28">
    <w:abstractNumId w:val="53"/>
  </w:num>
  <w:num w:numId="29">
    <w:abstractNumId w:val="90"/>
  </w:num>
  <w:num w:numId="30">
    <w:abstractNumId w:val="104"/>
  </w:num>
  <w:num w:numId="31">
    <w:abstractNumId w:val="128"/>
  </w:num>
  <w:num w:numId="32">
    <w:abstractNumId w:val="114"/>
  </w:num>
  <w:num w:numId="33">
    <w:abstractNumId w:val="57"/>
  </w:num>
  <w:num w:numId="34">
    <w:abstractNumId w:val="130"/>
  </w:num>
  <w:num w:numId="35">
    <w:abstractNumId w:val="17"/>
  </w:num>
  <w:num w:numId="36">
    <w:abstractNumId w:val="37"/>
  </w:num>
  <w:num w:numId="37">
    <w:abstractNumId w:val="54"/>
  </w:num>
  <w:num w:numId="38">
    <w:abstractNumId w:val="26"/>
  </w:num>
  <w:num w:numId="39">
    <w:abstractNumId w:val="76"/>
  </w:num>
  <w:num w:numId="40">
    <w:abstractNumId w:val="36"/>
  </w:num>
  <w:num w:numId="4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7"/>
  </w:num>
  <w:num w:numId="43">
    <w:abstractNumId w:val="34"/>
  </w:num>
  <w:num w:numId="44">
    <w:abstractNumId w:val="94"/>
  </w:num>
  <w:num w:numId="45">
    <w:abstractNumId w:val="89"/>
  </w:num>
  <w:num w:numId="46">
    <w:abstractNumId w:val="47"/>
  </w:num>
  <w:num w:numId="47">
    <w:abstractNumId w:val="77"/>
  </w:num>
  <w:num w:numId="48">
    <w:abstractNumId w:val="118"/>
  </w:num>
  <w:num w:numId="49">
    <w:abstractNumId w:val="24"/>
  </w:num>
  <w:num w:numId="50">
    <w:abstractNumId w:val="73"/>
  </w:num>
  <w:num w:numId="51">
    <w:abstractNumId w:val="113"/>
  </w:num>
  <w:num w:numId="52">
    <w:abstractNumId w:val="27"/>
  </w:num>
  <w:num w:numId="53">
    <w:abstractNumId w:val="117"/>
  </w:num>
  <w:num w:numId="54">
    <w:abstractNumId w:val="122"/>
  </w:num>
  <w:num w:numId="55">
    <w:abstractNumId w:val="21"/>
  </w:num>
  <w:num w:numId="56">
    <w:abstractNumId w:val="71"/>
  </w:num>
  <w:num w:numId="57">
    <w:abstractNumId w:val="70"/>
  </w:num>
  <w:num w:numId="58">
    <w:abstractNumId w:val="15"/>
  </w:num>
  <w:num w:numId="59">
    <w:abstractNumId w:val="123"/>
  </w:num>
  <w:num w:numId="60">
    <w:abstractNumId w:val="55"/>
  </w:num>
  <w:num w:numId="61">
    <w:abstractNumId w:val="50"/>
  </w:num>
  <w:num w:numId="62">
    <w:abstractNumId w:val="92"/>
  </w:num>
  <w:num w:numId="63">
    <w:abstractNumId w:val="134"/>
  </w:num>
  <w:num w:numId="64">
    <w:abstractNumId w:val="43"/>
  </w:num>
  <w:num w:numId="65">
    <w:abstractNumId w:val="28"/>
  </w:num>
  <w:num w:numId="66">
    <w:abstractNumId w:val="96"/>
  </w:num>
  <w:num w:numId="67">
    <w:abstractNumId w:val="60"/>
  </w:num>
  <w:num w:numId="68">
    <w:abstractNumId w:val="78"/>
  </w:num>
  <w:num w:numId="69">
    <w:abstractNumId w:val="46"/>
  </w:num>
  <w:num w:numId="70">
    <w:abstractNumId w:val="84"/>
  </w:num>
  <w:num w:numId="71">
    <w:abstractNumId w:val="101"/>
  </w:num>
  <w:num w:numId="72">
    <w:abstractNumId w:val="69"/>
  </w:num>
  <w:num w:numId="73">
    <w:abstractNumId w:val="30"/>
  </w:num>
  <w:num w:numId="74">
    <w:abstractNumId w:val="132"/>
  </w:num>
  <w:num w:numId="75">
    <w:abstractNumId w:val="133"/>
  </w:num>
  <w:num w:numId="76">
    <w:abstractNumId w:val="10"/>
  </w:num>
  <w:num w:numId="77">
    <w:abstractNumId w:val="38"/>
  </w:num>
  <w:num w:numId="78">
    <w:abstractNumId w:val="99"/>
  </w:num>
  <w:num w:numId="79">
    <w:abstractNumId w:val="64"/>
  </w:num>
  <w:num w:numId="80">
    <w:abstractNumId w:val="102"/>
  </w:num>
  <w:num w:numId="81">
    <w:abstractNumId w:val="127"/>
  </w:num>
  <w:num w:numId="82">
    <w:abstractNumId w:val="67"/>
  </w:num>
  <w:num w:numId="83">
    <w:abstractNumId w:val="13"/>
  </w:num>
  <w:num w:numId="84">
    <w:abstractNumId w:val="58"/>
  </w:num>
  <w:num w:numId="85">
    <w:abstractNumId w:val="124"/>
  </w:num>
  <w:num w:numId="86">
    <w:abstractNumId w:val="22"/>
  </w:num>
  <w:num w:numId="87">
    <w:abstractNumId w:val="33"/>
  </w:num>
  <w:num w:numId="88">
    <w:abstractNumId w:val="45"/>
  </w:num>
  <w:num w:numId="89">
    <w:abstractNumId w:val="61"/>
  </w:num>
  <w:num w:numId="90">
    <w:abstractNumId w:val="51"/>
  </w:num>
  <w:num w:numId="91">
    <w:abstractNumId w:val="100"/>
  </w:num>
  <w:num w:numId="92">
    <w:abstractNumId w:val="65"/>
  </w:num>
  <w:num w:numId="93">
    <w:abstractNumId w:val="48"/>
  </w:num>
  <w:num w:numId="94">
    <w:abstractNumId w:val="31"/>
  </w:num>
  <w:num w:numId="95">
    <w:abstractNumId w:val="93"/>
  </w:num>
  <w:num w:numId="96">
    <w:abstractNumId w:val="105"/>
  </w:num>
  <w:num w:numId="97">
    <w:abstractNumId w:val="62"/>
  </w:num>
  <w:num w:numId="98">
    <w:abstractNumId w:val="20"/>
  </w:num>
  <w:num w:numId="99">
    <w:abstractNumId w:val="75"/>
  </w:num>
  <w:num w:numId="100">
    <w:abstractNumId w:val="97"/>
  </w:num>
  <w:num w:numId="101">
    <w:abstractNumId w:val="95"/>
  </w:num>
  <w:num w:numId="102">
    <w:abstractNumId w:val="129"/>
  </w:num>
  <w:num w:numId="103">
    <w:abstractNumId w:val="19"/>
  </w:num>
  <w:num w:numId="104">
    <w:abstractNumId w:val="108"/>
  </w:num>
  <w:num w:numId="105">
    <w:abstractNumId w:val="126"/>
  </w:num>
  <w:num w:numId="106">
    <w:abstractNumId w:val="25"/>
  </w:num>
  <w:num w:numId="107">
    <w:abstractNumId w:val="29"/>
  </w:num>
  <w:num w:numId="108">
    <w:abstractNumId w:val="35"/>
  </w:num>
  <w:num w:numId="109">
    <w:abstractNumId w:val="119"/>
  </w:num>
  <w:num w:numId="110">
    <w:abstractNumId w:val="40"/>
  </w:num>
  <w:num w:numId="111">
    <w:abstractNumId w:val="103"/>
  </w:num>
  <w:num w:numId="112">
    <w:abstractNumId w:val="112"/>
  </w:num>
  <w:num w:numId="113">
    <w:abstractNumId w:val="81"/>
  </w:num>
  <w:num w:numId="114">
    <w:abstractNumId w:val="136"/>
  </w:num>
  <w:num w:numId="115">
    <w:abstractNumId w:val="32"/>
  </w:num>
  <w:num w:numId="116">
    <w:abstractNumId w:val="131"/>
  </w:num>
  <w:num w:numId="117">
    <w:abstractNumId w:val="110"/>
  </w:num>
  <w:num w:numId="118">
    <w:abstractNumId w:val="63"/>
  </w:num>
  <w:num w:numId="119">
    <w:abstractNumId w:val="66"/>
  </w:num>
  <w:num w:numId="120">
    <w:abstractNumId w:val="106"/>
  </w:num>
  <w:num w:numId="121">
    <w:abstractNumId w:val="18"/>
  </w:num>
  <w:num w:numId="122">
    <w:abstractNumId w:val="79"/>
  </w:num>
  <w:num w:numId="123">
    <w:abstractNumId w:val="12"/>
  </w:num>
  <w:num w:numId="1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3"/>
  </w:num>
  <w:num w:numId="126">
    <w:abstractNumId w:val="72"/>
  </w:num>
  <w:num w:numId="127">
    <w:abstractNumId w:val="111"/>
  </w:num>
  <w:num w:numId="128">
    <w:abstractNumId w:val="115"/>
  </w:num>
  <w:num w:numId="129">
    <w:abstractNumId w:val="68"/>
  </w:num>
  <w:num w:numId="130">
    <w:abstractNumId w:val="120"/>
  </w:num>
  <w:num w:numId="131">
    <w:abstractNumId w:val="80"/>
  </w:num>
  <w:num w:numId="132">
    <w:abstractNumId w:val="39"/>
  </w:num>
  <w:num w:numId="133">
    <w:abstractNumId w:val="135"/>
  </w:num>
  <w:num w:numId="134">
    <w:abstractNumId w:val="135"/>
    <w:lvlOverride w:ilvl="0">
      <w:startOverride w:val="1"/>
    </w:lvlOverride>
  </w:num>
  <w:num w:numId="135">
    <w:abstractNumId w:val="121"/>
  </w:num>
  <w:num w:numId="136">
    <w:abstractNumId w:val="109"/>
  </w:num>
  <w:num w:numId="137">
    <w:abstractNumId w:val="116"/>
  </w:num>
  <w:num w:numId="138">
    <w:abstractNumId w:val="98"/>
  </w:num>
  <w:num w:numId="139">
    <w:abstractNumId w:val="44"/>
  </w:num>
  <w:num w:numId="1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true"/>
  <w:documentProtection w:edit="trackedChanges" w:formatting="1" w:enforcement="0"/>
  <w:defaultTabStop w:val="113"/>
  <w:autoHyphenation w:val="true"/>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ru-RU" w:eastAsia="ru-RU"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4">
    <w:name w:val="Heading 1 Char"/>
    <w:basedOn w:val="1290"/>
    <w:link w:val="1281"/>
    <w:uiPriority w:val="9"/>
    <w:rPr>
      <w:rFonts w:ascii="Arial" w:hAnsi="Arial" w:eastAsia="Arial" w:cs="Arial"/>
      <w:sz w:val="40"/>
      <w:szCs w:val="40"/>
    </w:rPr>
  </w:style>
  <w:style w:type="character" w:styleId="16">
    <w:name w:val="Heading 2 Char"/>
    <w:basedOn w:val="1290"/>
    <w:link w:val="1282"/>
    <w:uiPriority w:val="9"/>
    <w:rPr>
      <w:rFonts w:ascii="Arial" w:hAnsi="Arial" w:eastAsia="Arial" w:cs="Arial"/>
      <w:sz w:val="34"/>
    </w:rPr>
  </w:style>
  <w:style w:type="character" w:styleId="18">
    <w:name w:val="Heading 3 Char"/>
    <w:basedOn w:val="1290"/>
    <w:link w:val="1283"/>
    <w:uiPriority w:val="9"/>
    <w:rPr>
      <w:rFonts w:ascii="Arial" w:hAnsi="Arial" w:eastAsia="Arial" w:cs="Arial"/>
      <w:sz w:val="30"/>
      <w:szCs w:val="30"/>
    </w:rPr>
  </w:style>
  <w:style w:type="character" w:styleId="20">
    <w:name w:val="Heading 4 Char"/>
    <w:basedOn w:val="1290"/>
    <w:link w:val="1284"/>
    <w:uiPriority w:val="9"/>
    <w:rPr>
      <w:rFonts w:ascii="Arial" w:hAnsi="Arial" w:eastAsia="Arial" w:cs="Arial"/>
      <w:b/>
      <w:bCs/>
      <w:sz w:val="26"/>
      <w:szCs w:val="26"/>
    </w:rPr>
  </w:style>
  <w:style w:type="character" w:styleId="22">
    <w:name w:val="Heading 5 Char"/>
    <w:basedOn w:val="1290"/>
    <w:link w:val="1285"/>
    <w:uiPriority w:val="9"/>
    <w:rPr>
      <w:rFonts w:ascii="Arial" w:hAnsi="Arial" w:eastAsia="Arial" w:cs="Arial"/>
      <w:b/>
      <w:bCs/>
      <w:sz w:val="24"/>
      <w:szCs w:val="24"/>
    </w:rPr>
  </w:style>
  <w:style w:type="character" w:styleId="24">
    <w:name w:val="Heading 6 Char"/>
    <w:basedOn w:val="1290"/>
    <w:link w:val="1286"/>
    <w:uiPriority w:val="9"/>
    <w:rPr>
      <w:rFonts w:ascii="Arial" w:hAnsi="Arial" w:eastAsia="Arial" w:cs="Arial"/>
      <w:b/>
      <w:bCs/>
      <w:sz w:val="22"/>
      <w:szCs w:val="22"/>
    </w:rPr>
  </w:style>
  <w:style w:type="character" w:styleId="26">
    <w:name w:val="Heading 7 Char"/>
    <w:basedOn w:val="1290"/>
    <w:link w:val="1287"/>
    <w:uiPriority w:val="9"/>
    <w:rPr>
      <w:rFonts w:ascii="Arial" w:hAnsi="Arial" w:eastAsia="Arial" w:cs="Arial"/>
      <w:b/>
      <w:bCs/>
      <w:i/>
      <w:iCs/>
      <w:sz w:val="22"/>
      <w:szCs w:val="22"/>
    </w:rPr>
  </w:style>
  <w:style w:type="character" w:styleId="28">
    <w:name w:val="Heading 8 Char"/>
    <w:basedOn w:val="1290"/>
    <w:link w:val="1288"/>
    <w:uiPriority w:val="9"/>
    <w:rPr>
      <w:rFonts w:ascii="Arial" w:hAnsi="Arial" w:eastAsia="Arial" w:cs="Arial"/>
      <w:i/>
      <w:iCs/>
      <w:sz w:val="22"/>
      <w:szCs w:val="22"/>
    </w:rPr>
  </w:style>
  <w:style w:type="character" w:styleId="30">
    <w:name w:val="Heading 9 Char"/>
    <w:basedOn w:val="1290"/>
    <w:link w:val="1289"/>
    <w:uiPriority w:val="9"/>
    <w:rPr>
      <w:rFonts w:ascii="Arial" w:hAnsi="Arial" w:eastAsia="Arial" w:cs="Arial"/>
      <w:i/>
      <w:iCs/>
      <w:sz w:val="21"/>
      <w:szCs w:val="21"/>
    </w:rPr>
  </w:style>
  <w:style w:type="character" w:styleId="35">
    <w:name w:val="Title Char"/>
    <w:basedOn w:val="1290"/>
    <w:link w:val="1448"/>
    <w:uiPriority w:val="10"/>
    <w:rPr>
      <w:sz w:val="48"/>
      <w:szCs w:val="48"/>
    </w:rPr>
  </w:style>
  <w:style w:type="character" w:styleId="37">
    <w:name w:val="Subtitle Char"/>
    <w:basedOn w:val="1290"/>
    <w:link w:val="1360"/>
    <w:uiPriority w:val="11"/>
    <w:rPr>
      <w:sz w:val="24"/>
      <w:szCs w:val="24"/>
    </w:rPr>
  </w:style>
  <w:style w:type="paragraph" w:styleId="38">
    <w:name w:val="Quote"/>
    <w:basedOn w:val="1280"/>
    <w:next w:val="1280"/>
    <w:link w:val="39"/>
    <w:uiPriority w:val="29"/>
    <w:qFormat/>
    <w:pPr>
      <w:ind w:left="720" w:right="720"/>
    </w:pPr>
    <w:rPr>
      <w:i/>
    </w:rPr>
  </w:style>
  <w:style w:type="character" w:styleId="39">
    <w:name w:val="Quote Char"/>
    <w:link w:val="38"/>
    <w:uiPriority w:val="29"/>
    <w:rPr>
      <w:i/>
    </w:rPr>
  </w:style>
  <w:style w:type="paragraph" w:styleId="40">
    <w:name w:val="Intense Quote"/>
    <w:basedOn w:val="1280"/>
    <w:next w:val="1280"/>
    <w:link w:val="41"/>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1">
    <w:name w:val="Intense Quote Char"/>
    <w:link w:val="40"/>
    <w:uiPriority w:val="30"/>
    <w:rPr>
      <w:i/>
    </w:rPr>
  </w:style>
  <w:style w:type="character" w:styleId="43">
    <w:name w:val="Header Char"/>
    <w:basedOn w:val="1290"/>
    <w:link w:val="1300"/>
    <w:uiPriority w:val="99"/>
  </w:style>
  <w:style w:type="character" w:styleId="45">
    <w:name w:val="Footer Char"/>
    <w:basedOn w:val="1290"/>
    <w:link w:val="1466"/>
    <w:uiPriority w:val="99"/>
  </w:style>
  <w:style w:type="character" w:styleId="47">
    <w:name w:val="Caption Char"/>
    <w:basedOn w:val="1290"/>
    <w:link w:val="1330"/>
    <w:uiPriority w:val="35"/>
    <w:rPr>
      <w:b/>
      <w:bCs/>
      <w:color w:val="4f81bd" w:themeColor="accent1"/>
      <w:sz w:val="18"/>
      <w:szCs w:val="18"/>
    </w:rPr>
  </w:style>
  <w:style w:type="table" w:styleId="49">
    <w:name w:val="Table Grid Light"/>
    <w:basedOn w:val="129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50">
    <w:name w:val="Plain Table 1"/>
    <w:basedOn w:val="129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2"/>
    <w:basedOn w:val="1291"/>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2">
    <w:name w:val="Plain Table 3"/>
    <w:basedOn w:val="129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3">
    <w:name w:val="Plain Table 4"/>
    <w:basedOn w:val="129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4">
    <w:name w:val="Plain Table 5"/>
    <w:basedOn w:val="129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5">
    <w:name w:val="Grid Table 1 Light"/>
    <w:basedOn w:val="1291"/>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6">
    <w:name w:val="Grid Table 1 Light - Accent 1"/>
    <w:basedOn w:val="129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7">
    <w:name w:val="Grid Table 1 Light - Accent 2"/>
    <w:basedOn w:val="129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8">
    <w:name w:val="Grid Table 1 Light - Accent 3"/>
    <w:basedOn w:val="129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9">
    <w:name w:val="Grid Table 1 Light - Accent 4"/>
    <w:basedOn w:val="129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0">
    <w:name w:val="Grid Table 1 Light - Accent 5"/>
    <w:basedOn w:val="129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1">
    <w:name w:val="Grid Table 1 Light - Accent 6"/>
    <w:basedOn w:val="129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2">
    <w:name w:val="Grid Table 2"/>
    <w:basedOn w:val="129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3">
    <w:name w:val="Grid Table 2 - Accent 1"/>
    <w:basedOn w:val="129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4">
    <w:name w:val="Grid Table 2 - Accent 2"/>
    <w:basedOn w:val="129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5">
    <w:name w:val="Grid Table 2 - Accent 3"/>
    <w:basedOn w:val="129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6">
    <w:name w:val="Grid Table 2 - Accent 4"/>
    <w:basedOn w:val="129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7">
    <w:name w:val="Grid Table 2 - Accent 5"/>
    <w:basedOn w:val="129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8">
    <w:name w:val="Grid Table 2 - Accent 6"/>
    <w:basedOn w:val="129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9">
    <w:name w:val="Grid Table 3"/>
    <w:basedOn w:val="129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1"/>
    <w:basedOn w:val="129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2"/>
    <w:basedOn w:val="129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3"/>
    <w:basedOn w:val="129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4"/>
    <w:basedOn w:val="129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5"/>
    <w:basedOn w:val="129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3 - Accent 6"/>
    <w:basedOn w:val="129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6">
    <w:name w:val="Grid Table 4"/>
    <w:basedOn w:val="1291"/>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7">
    <w:name w:val="Grid Table 4 - Accent 1"/>
    <w:basedOn w:val="129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8">
    <w:name w:val="Grid Table 4 - Accent 2"/>
    <w:basedOn w:val="1291"/>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9">
    <w:name w:val="Grid Table 4 - Accent 3"/>
    <w:basedOn w:val="1291"/>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0">
    <w:name w:val="Grid Table 4 - Accent 4"/>
    <w:basedOn w:val="1291"/>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1">
    <w:name w:val="Grid Table 4 - Accent 5"/>
    <w:basedOn w:val="1291"/>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2">
    <w:name w:val="Grid Table 4 - Accent 6"/>
    <w:basedOn w:val="1291"/>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3">
    <w:name w:val="Grid Table 5 Dark"/>
    <w:basedOn w:val="129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4">
    <w:name w:val="Grid Table 5 Dark- Accent 1"/>
    <w:basedOn w:val="129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5">
    <w:name w:val="Grid Table 5 Dark - Accent 2"/>
    <w:basedOn w:val="129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6">
    <w:name w:val="Grid Table 5 Dark - Accent 3"/>
    <w:basedOn w:val="129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7">
    <w:name w:val="Grid Table 5 Dark- Accent 4"/>
    <w:basedOn w:val="129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8">
    <w:name w:val="Grid Table 5 Dark - Accent 5"/>
    <w:basedOn w:val="129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9">
    <w:name w:val="Grid Table 5 Dark - Accent 6"/>
    <w:basedOn w:val="129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90">
    <w:name w:val="Grid Table 6 Colorful"/>
    <w:basedOn w:val="1291"/>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1">
    <w:name w:val="Grid Table 6 Colorful - Accent 1"/>
    <w:basedOn w:val="129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2">
    <w:name w:val="Grid Table 6 Colorful - Accent 2"/>
    <w:basedOn w:val="129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3">
    <w:name w:val="Grid Table 6 Colorful - Accent 3"/>
    <w:basedOn w:val="1291"/>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4">
    <w:name w:val="Grid Table 6 Colorful - Accent 4"/>
    <w:basedOn w:val="129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5">
    <w:name w:val="Grid Table 6 Colorful - Accent 5"/>
    <w:basedOn w:val="1291"/>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6 Colorful - Accent 6"/>
    <w:basedOn w:val="1291"/>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7">
    <w:name w:val="Grid Table 7 Colorful"/>
    <w:basedOn w:val="1291"/>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8">
    <w:name w:val="Grid Table 7 Colorful - Accent 1"/>
    <w:basedOn w:val="129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9">
    <w:name w:val="Grid Table 7 Colorful - Accent 2"/>
    <w:basedOn w:val="1291"/>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100">
    <w:name w:val="Grid Table 7 Colorful - Accent 3"/>
    <w:basedOn w:val="1291"/>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1">
    <w:name w:val="Grid Table 7 Colorful - Accent 4"/>
    <w:basedOn w:val="1291"/>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2">
    <w:name w:val="Grid Table 7 Colorful - Accent 5"/>
    <w:basedOn w:val="1291"/>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3">
    <w:name w:val="Grid Table 7 Colorful - Accent 6"/>
    <w:basedOn w:val="1291"/>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4">
    <w:name w:val="List Table 1 Light"/>
    <w:basedOn w:val="1291"/>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5">
    <w:name w:val="List Table 1 Light - Accent 1"/>
    <w:basedOn w:val="129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6">
    <w:name w:val="List Table 1 Light - Accent 2"/>
    <w:basedOn w:val="1291"/>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7">
    <w:name w:val="List Table 1 Light - Accent 3"/>
    <w:basedOn w:val="1291"/>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8">
    <w:name w:val="List Table 1 Light - Accent 4"/>
    <w:basedOn w:val="1291"/>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9">
    <w:name w:val="List Table 1 Light - Accent 5"/>
    <w:basedOn w:val="1291"/>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10">
    <w:name w:val="List Table 1 Light - Accent 6"/>
    <w:basedOn w:val="1291"/>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1">
    <w:name w:val="List Table 2"/>
    <w:basedOn w:val="1291"/>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2">
    <w:name w:val="List Table 2 - Accent 1"/>
    <w:basedOn w:val="129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3">
    <w:name w:val="List Table 2 - Accent 2"/>
    <w:basedOn w:val="1291"/>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4">
    <w:name w:val="List Table 2 - Accent 3"/>
    <w:basedOn w:val="1291"/>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5">
    <w:name w:val="List Table 2 - Accent 4"/>
    <w:basedOn w:val="1291"/>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6">
    <w:name w:val="List Table 2 - Accent 5"/>
    <w:basedOn w:val="1291"/>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7">
    <w:name w:val="List Table 2 - Accent 6"/>
    <w:basedOn w:val="1291"/>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8">
    <w:name w:val="List Table 3"/>
    <w:basedOn w:val="129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9">
    <w:name w:val="List Table 3 - Accent 1"/>
    <w:basedOn w:val="129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0">
    <w:name w:val="List Table 3 - Accent 2"/>
    <w:basedOn w:val="129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1">
    <w:name w:val="List Table 3 - Accent 3"/>
    <w:basedOn w:val="1291"/>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2">
    <w:name w:val="List Table 3 - Accent 4"/>
    <w:basedOn w:val="129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3">
    <w:name w:val="List Table 3 - Accent 5"/>
    <w:basedOn w:val="1291"/>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4">
    <w:name w:val="List Table 3 - Accent 6"/>
    <w:basedOn w:val="1291"/>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5">
    <w:name w:val="List Table 4"/>
    <w:basedOn w:val="129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6">
    <w:name w:val="List Table 4 - Accent 1"/>
    <w:basedOn w:val="129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7">
    <w:name w:val="List Table 4 - Accent 2"/>
    <w:basedOn w:val="1291"/>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8">
    <w:name w:val="List Table 4 - Accent 3"/>
    <w:basedOn w:val="1291"/>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9">
    <w:name w:val="List Table 4 - Accent 4"/>
    <w:basedOn w:val="1291"/>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30">
    <w:name w:val="List Table 4 - Accent 5"/>
    <w:basedOn w:val="1291"/>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1">
    <w:name w:val="List Table 4 - Accent 6"/>
    <w:basedOn w:val="1291"/>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2">
    <w:name w:val="List Table 5 Dark"/>
    <w:basedOn w:val="1291"/>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1"/>
    <w:basedOn w:val="129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2"/>
    <w:basedOn w:val="1291"/>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3"/>
    <w:basedOn w:val="1291"/>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4"/>
    <w:basedOn w:val="1291"/>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5"/>
    <w:basedOn w:val="1291"/>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5 Dark - Accent 6"/>
    <w:basedOn w:val="1291"/>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9">
    <w:name w:val="List Table 6 Colorful"/>
    <w:basedOn w:val="1291"/>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40">
    <w:name w:val="List Table 6 Colorful - Accent 1"/>
    <w:basedOn w:val="129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1">
    <w:name w:val="List Table 6 Colorful - Accent 2"/>
    <w:basedOn w:val="1291"/>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2">
    <w:name w:val="List Table 6 Colorful - Accent 3"/>
    <w:basedOn w:val="1291"/>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3">
    <w:name w:val="List Table 6 Colorful - Accent 4"/>
    <w:basedOn w:val="1291"/>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4">
    <w:name w:val="List Table 6 Colorful - Accent 5"/>
    <w:basedOn w:val="1291"/>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5">
    <w:name w:val="List Table 6 Colorful - Accent 6"/>
    <w:basedOn w:val="1291"/>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6">
    <w:name w:val="List Table 7 Colorful"/>
    <w:basedOn w:val="1291"/>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7">
    <w:name w:val="List Table 7 Colorful - Accent 1"/>
    <w:basedOn w:val="129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8">
    <w:name w:val="List Table 7 Colorful - Accent 2"/>
    <w:basedOn w:val="1291"/>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9">
    <w:name w:val="List Table 7 Colorful - Accent 3"/>
    <w:basedOn w:val="1291"/>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50">
    <w:name w:val="List Table 7 Colorful - Accent 4"/>
    <w:basedOn w:val="1291"/>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1">
    <w:name w:val="List Table 7 Colorful - Accent 5"/>
    <w:basedOn w:val="1291"/>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2">
    <w:name w:val="List Table 7 Colorful - Accent 6"/>
    <w:basedOn w:val="1291"/>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3">
    <w:name w:val="Lined - Accent"/>
    <w:basedOn w:val="129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4">
    <w:name w:val="Lined - Accent 1"/>
    <w:basedOn w:val="129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5">
    <w:name w:val="Lined - Accent 2"/>
    <w:basedOn w:val="129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6">
    <w:name w:val="Lined - Accent 3"/>
    <w:basedOn w:val="129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7">
    <w:name w:val="Lined - Accent 4"/>
    <w:basedOn w:val="129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8">
    <w:name w:val="Lined - Accent 5"/>
    <w:basedOn w:val="129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9">
    <w:name w:val="Lined - Accent 6"/>
    <w:basedOn w:val="129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0">
    <w:name w:val="Bordered &amp; Lined - Accent"/>
    <w:basedOn w:val="1291"/>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1">
    <w:name w:val="Bordered &amp; Lined - Accent 1"/>
    <w:basedOn w:val="129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2">
    <w:name w:val="Bordered &amp; Lined - Accent 2"/>
    <w:basedOn w:val="1291"/>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3">
    <w:name w:val="Bordered &amp; Lined - Accent 3"/>
    <w:basedOn w:val="1291"/>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4">
    <w:name w:val="Bordered &amp; Lined - Accent 4"/>
    <w:basedOn w:val="1291"/>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5">
    <w:name w:val="Bordered &amp; Lined - Accent 5"/>
    <w:basedOn w:val="1291"/>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6">
    <w:name w:val="Bordered &amp; Lined - Accent 6"/>
    <w:basedOn w:val="1291"/>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7">
    <w:name w:val="Bordered"/>
    <w:basedOn w:val="1291"/>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8">
    <w:name w:val="Bordered - Accent 1"/>
    <w:basedOn w:val="129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9">
    <w:name w:val="Bordered - Accent 2"/>
    <w:basedOn w:val="129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70">
    <w:name w:val="Bordered - Accent 3"/>
    <w:basedOn w:val="129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1">
    <w:name w:val="Bordered - Accent 4"/>
    <w:basedOn w:val="129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2">
    <w:name w:val="Bordered - Accent 5"/>
    <w:basedOn w:val="129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3">
    <w:name w:val="Bordered - Accent 6"/>
    <w:basedOn w:val="129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6">
    <w:name w:val="Footnote Text Char"/>
    <w:link w:val="1353"/>
    <w:uiPriority w:val="99"/>
    <w:rPr>
      <w:sz w:val="18"/>
    </w:rPr>
  </w:style>
  <w:style w:type="character" w:styleId="179">
    <w:name w:val="Endnote Text Char"/>
    <w:link w:val="1803"/>
    <w:uiPriority w:val="99"/>
    <w:rPr>
      <w:sz w:val="20"/>
    </w:rPr>
  </w:style>
  <w:style w:type="paragraph" w:styleId="1280" w:default="1">
    <w:name w:val="Normal"/>
    <w:qFormat/>
    <w:pPr>
      <w:ind w:firstLine="567"/>
      <w:jc w:val="both"/>
    </w:pPr>
    <w:rPr>
      <w:sz w:val="24"/>
    </w:rPr>
  </w:style>
  <w:style w:type="paragraph" w:styleId="1281">
    <w:name w:val="Heading 1"/>
    <w:next w:val="1305"/>
    <w:link w:val="1594"/>
    <w:qFormat/>
    <w:pPr>
      <w:numPr>
        <w:ilvl w:val="0"/>
        <w:numId w:val="128"/>
      </w:numPr>
      <w:contextualSpacing/>
      <w:ind w:left="567" w:hanging="567"/>
      <w:jc w:val="center"/>
      <w:keepNext/>
      <w:pageBreakBefore/>
      <w:spacing w:before="240" w:after="360"/>
      <w:tabs>
        <w:tab w:val="clear" w:pos="432" w:leader="none"/>
        <w:tab w:val="left" w:pos="567" w:leader="none"/>
      </w:tabs>
      <w:outlineLvl w:val="0"/>
    </w:pPr>
    <w:rPr>
      <w:b/>
      <w:caps/>
      <w:sz w:val="32"/>
      <w:szCs w:val="36"/>
    </w:rPr>
  </w:style>
  <w:style w:type="paragraph" w:styleId="1282">
    <w:name w:val="Heading 2"/>
    <w:basedOn w:val="1281"/>
    <w:next w:val="1305"/>
    <w:link w:val="1595"/>
    <w:qFormat/>
    <w:pPr>
      <w:numPr>
        <w:ilvl w:val="1"/>
      </w:numPr>
      <w:ind w:left="851" w:hanging="851"/>
      <w:jc w:val="left"/>
      <w:keepLines/>
      <w:pageBreakBefore w:val="0"/>
      <w:spacing w:after="240"/>
      <w:tabs>
        <w:tab w:val="clear" w:pos="576" w:leader="none"/>
        <w:tab w:val="left" w:pos="851" w:leader="none"/>
      </w:tabs>
      <w:outlineLvl w:val="1"/>
    </w:pPr>
    <w:rPr>
      <w:rFonts w:cs="Arial"/>
      <w:bCs/>
      <w:iCs/>
      <w:caps w:val="0"/>
      <w:szCs w:val="32"/>
    </w:rPr>
  </w:style>
  <w:style w:type="paragraph" w:styleId="1283">
    <w:name w:val="Heading 3"/>
    <w:basedOn w:val="1282"/>
    <w:next w:val="1305"/>
    <w:link w:val="1596"/>
    <w:qFormat/>
    <w:pPr>
      <w:numPr>
        <w:ilvl w:val="2"/>
      </w:numPr>
      <w:ind w:left="964" w:hanging="964"/>
      <w:tabs>
        <w:tab w:val="clear" w:pos="720" w:leader="none"/>
        <w:tab w:val="clear" w:pos="851" w:leader="none"/>
        <w:tab w:val="left" w:pos="964" w:leader="none"/>
      </w:tabs>
      <w:outlineLvl w:val="2"/>
    </w:pPr>
    <w:rPr>
      <w:bCs w:val="0"/>
      <w:sz w:val="26"/>
      <w:szCs w:val="26"/>
    </w:rPr>
  </w:style>
  <w:style w:type="paragraph" w:styleId="1284">
    <w:name w:val="Heading 4"/>
    <w:basedOn w:val="1283"/>
    <w:next w:val="1305"/>
    <w:link w:val="1597"/>
    <w:qFormat/>
    <w:pPr>
      <w:numPr>
        <w:ilvl w:val="3"/>
      </w:numPr>
      <w:ind w:left="1134" w:hanging="1134"/>
      <w:tabs>
        <w:tab w:val="clear" w:pos="864" w:leader="none"/>
        <w:tab w:val="clear" w:pos="964" w:leader="none"/>
        <w:tab w:val="left" w:pos="1134" w:leader="none"/>
      </w:tabs>
      <w:outlineLvl w:val="3"/>
    </w:pPr>
    <w:rPr>
      <w:sz w:val="24"/>
    </w:rPr>
  </w:style>
  <w:style w:type="paragraph" w:styleId="1285">
    <w:name w:val="Heading 5"/>
    <w:basedOn w:val="1284"/>
    <w:next w:val="1305"/>
    <w:link w:val="1598"/>
    <w:qFormat/>
    <w:pPr>
      <w:numPr>
        <w:ilvl w:val="4"/>
      </w:numPr>
      <w:ind w:left="1276" w:hanging="1276"/>
      <w:spacing w:after="120"/>
      <w:tabs>
        <w:tab w:val="clear" w:pos="1008" w:leader="none"/>
        <w:tab w:val="clear" w:pos="1134" w:leader="none"/>
        <w:tab w:val="left" w:pos="1276" w:leader="none"/>
      </w:tabs>
      <w:outlineLvl w:val="4"/>
    </w:pPr>
    <w:rPr>
      <w:rFonts w:cs="Times New Roman"/>
      <w:bCs/>
      <w:iCs w:val="0"/>
      <w:lang w:eastAsia="ko-KR"/>
    </w:rPr>
  </w:style>
  <w:style w:type="paragraph" w:styleId="1286">
    <w:name w:val="Heading 6"/>
    <w:basedOn w:val="1285"/>
    <w:next w:val="1305"/>
    <w:link w:val="1591"/>
    <w:qFormat/>
    <w:pPr>
      <w:numPr>
        <w:ilvl w:val="5"/>
      </w:numPr>
      <w:ind w:left="1418" w:hanging="1418"/>
      <w:tabs>
        <w:tab w:val="clear" w:pos="1152" w:leader="none"/>
        <w:tab w:val="clear" w:pos="1276" w:leader="none"/>
        <w:tab w:val="left" w:pos="1418" w:leader="none"/>
      </w:tabs>
      <w:outlineLvl w:val="5"/>
    </w:pPr>
    <w:rPr>
      <w:bCs w:val="0"/>
      <w:i/>
      <w:szCs w:val="22"/>
    </w:rPr>
  </w:style>
  <w:style w:type="paragraph" w:styleId="1287">
    <w:name w:val="Heading 7"/>
    <w:basedOn w:val="1280"/>
    <w:next w:val="1280"/>
    <w:link w:val="1599"/>
    <w:qFormat/>
    <w:pPr>
      <w:numPr>
        <w:ilvl w:val="6"/>
        <w:numId w:val="128"/>
      </w:numPr>
      <w:spacing w:before="240" w:after="60"/>
      <w:outlineLvl w:val="6"/>
    </w:pPr>
  </w:style>
  <w:style w:type="paragraph" w:styleId="1288">
    <w:name w:val="Heading 8"/>
    <w:basedOn w:val="1280"/>
    <w:next w:val="1280"/>
    <w:link w:val="1592"/>
    <w:qFormat/>
    <w:pPr>
      <w:numPr>
        <w:ilvl w:val="7"/>
        <w:numId w:val="128"/>
      </w:numPr>
      <w:spacing w:before="240" w:after="60"/>
      <w:outlineLvl w:val="7"/>
    </w:pPr>
    <w:rPr>
      <w:i/>
      <w:iCs/>
    </w:rPr>
  </w:style>
  <w:style w:type="paragraph" w:styleId="1289">
    <w:name w:val="Heading 9"/>
    <w:basedOn w:val="1280"/>
    <w:next w:val="1280"/>
    <w:link w:val="1593"/>
    <w:qFormat/>
    <w:pPr>
      <w:numPr>
        <w:ilvl w:val="8"/>
        <w:numId w:val="20"/>
      </w:numPr>
      <w:spacing w:before="240" w:after="60"/>
      <w:outlineLvl w:val="8"/>
    </w:pPr>
    <w:rPr>
      <w:rFonts w:ascii="Arial" w:hAnsi="Arial"/>
      <w:sz w:val="22"/>
      <w:szCs w:val="22"/>
    </w:rPr>
  </w:style>
  <w:style w:type="character" w:styleId="1290" w:default="1">
    <w:name w:val="Default Paragraph Font"/>
    <w:uiPriority w:val="1"/>
    <w:semiHidden/>
    <w:unhideWhenUsed/>
  </w:style>
  <w:style w:type="table" w:styleId="1291" w:default="1">
    <w:name w:val="Normal Table"/>
    <w:uiPriority w:val="99"/>
    <w:semiHidden/>
    <w:unhideWhenUsed/>
    <w:tblPr>
      <w:tblInd w:w="0" w:type="dxa"/>
      <w:tblCellMar>
        <w:left w:w="108" w:type="dxa"/>
        <w:top w:w="0" w:type="dxa"/>
        <w:right w:w="108" w:type="dxa"/>
        <w:bottom w:w="0" w:type="dxa"/>
      </w:tblCellMar>
    </w:tblPr>
  </w:style>
  <w:style w:type="numbering" w:styleId="1292" w:default="1">
    <w:name w:val="No List"/>
    <w:uiPriority w:val="99"/>
    <w:semiHidden/>
    <w:unhideWhenUsed/>
  </w:style>
  <w:style w:type="paragraph" w:styleId="1293" w:customStyle="1">
    <w:name w:val="_GOST_Figure"/>
    <w:next w:val="1294"/>
    <w:pPr>
      <w:jc w:val="center"/>
      <w:keepNext/>
      <w:spacing w:before="120" w:after="120"/>
    </w:pPr>
    <w:rPr>
      <w:sz w:val="24"/>
    </w:rPr>
  </w:style>
  <w:style w:type="paragraph" w:styleId="1294" w:customStyle="1">
    <w:name w:val="_GOST_Fig_Name"/>
    <w:basedOn w:val="1293"/>
    <w:next w:val="1305"/>
    <w:pPr>
      <w:numPr>
        <w:ilvl w:val="0"/>
        <w:numId w:val="127"/>
      </w:numPr>
      <w:contextualSpacing/>
      <w:keepNext w:val="0"/>
    </w:pPr>
    <w:rPr>
      <w:b/>
      <w:szCs w:val="24"/>
    </w:rPr>
  </w:style>
  <w:style w:type="paragraph" w:styleId="1295" w:customStyle="1">
    <w:name w:val="_GOST_header"/>
    <w:rPr>
      <w:color w:val="333333"/>
      <w:sz w:val="22"/>
    </w:rPr>
  </w:style>
  <w:style w:type="paragraph" w:styleId="1296" w:customStyle="1">
    <w:name w:val="_GOST_List_mark1"/>
    <w:link w:val="2323"/>
    <w:pPr>
      <w:numPr>
        <w:ilvl w:val="0"/>
        <w:numId w:val="15"/>
      </w:numPr>
      <w:jc w:val="both"/>
    </w:pPr>
    <w:rPr>
      <w:sz w:val="24"/>
    </w:rPr>
  </w:style>
  <w:style w:type="paragraph" w:styleId="1297" w:customStyle="1">
    <w:name w:val="_GOST_List_mark2"/>
    <w:pPr>
      <w:numPr>
        <w:ilvl w:val="0"/>
        <w:numId w:val="16"/>
      </w:numPr>
      <w:jc w:val="both"/>
    </w:pPr>
    <w:rPr>
      <w:sz w:val="24"/>
    </w:rPr>
  </w:style>
  <w:style w:type="paragraph" w:styleId="1298" w:customStyle="1">
    <w:name w:val="_GOST_List_mark3"/>
    <w:basedOn w:val="1280"/>
    <w:pPr>
      <w:numPr>
        <w:ilvl w:val="0"/>
        <w:numId w:val="17"/>
      </w:numPr>
    </w:pPr>
  </w:style>
  <w:style w:type="paragraph" w:styleId="1299" w:customStyle="1">
    <w:name w:val="_GOST_List_mark4"/>
    <w:basedOn w:val="1280"/>
    <w:pPr>
      <w:numPr>
        <w:ilvl w:val="0"/>
        <w:numId w:val="18"/>
      </w:numPr>
    </w:pPr>
  </w:style>
  <w:style w:type="paragraph" w:styleId="1300">
    <w:name w:val="Header"/>
    <w:basedOn w:val="1280"/>
    <w:link w:val="1565"/>
    <w:pPr>
      <w:tabs>
        <w:tab w:val="center" w:pos="4677" w:leader="none"/>
        <w:tab w:val="right" w:pos="9355" w:leader="none"/>
      </w:tabs>
    </w:pPr>
  </w:style>
  <w:style w:type="paragraph" w:styleId="1301" w:customStyle="1">
    <w:name w:val="_GOST_List_note"/>
    <w:basedOn w:val="1298"/>
    <w:pPr>
      <w:numPr>
        <w:ilvl w:val="0"/>
        <w:numId w:val="0"/>
      </w:numPr>
    </w:pPr>
  </w:style>
  <w:style w:type="paragraph" w:styleId="1302" w:customStyle="1">
    <w:name w:val="_GOST_List_normal_1.8"/>
    <w:pPr>
      <w:ind w:left="1021"/>
      <w:jc w:val="both"/>
      <w:tabs>
        <w:tab w:val="left" w:pos="1021" w:leader="none"/>
      </w:tabs>
    </w:pPr>
    <w:rPr>
      <w:sz w:val="24"/>
    </w:rPr>
  </w:style>
  <w:style w:type="paragraph" w:styleId="1303" w:customStyle="1">
    <w:name w:val="_GOST_List_num2"/>
    <w:basedOn w:val="1467"/>
    <w:pPr>
      <w:numPr>
        <w:ilvl w:val="1"/>
      </w:numPr>
    </w:pPr>
    <w:rPr>
      <w:szCs w:val="24"/>
    </w:rPr>
  </w:style>
  <w:style w:type="paragraph" w:styleId="1304" w:customStyle="1">
    <w:name w:val="_GOST_Name_Table"/>
    <w:link w:val="2328"/>
    <w:qFormat/>
    <w:pPr>
      <w:numPr>
        <w:ilvl w:val="0"/>
        <w:numId w:val="14"/>
      </w:numPr>
      <w:keepNext/>
      <w:spacing w:before="240" w:after="120"/>
    </w:pPr>
    <w:rPr>
      <w:b/>
      <w:sz w:val="24"/>
    </w:rPr>
  </w:style>
  <w:style w:type="paragraph" w:styleId="1305" w:customStyle="1">
    <w:name w:val="_GOST_Normal"/>
    <w:link w:val="1844"/>
    <w:qFormat/>
    <w:pPr>
      <w:contextualSpacing/>
      <w:ind w:firstLine="567"/>
      <w:jc w:val="both"/>
      <w:spacing w:before="120" w:after="60"/>
    </w:pPr>
    <w:rPr>
      <w:sz w:val="24"/>
    </w:rPr>
  </w:style>
  <w:style w:type="paragraph" w:styleId="1306" w:customStyle="1">
    <w:name w:val="_GOST_Normal_Without"/>
    <w:basedOn w:val="1305"/>
    <w:next w:val="1305"/>
    <w:link w:val="2317"/>
    <w:pPr>
      <w:keepNext/>
    </w:pPr>
  </w:style>
  <w:style w:type="paragraph" w:styleId="1307" w:customStyle="1">
    <w:name w:val="_GOST_Note"/>
    <w:next w:val="1305"/>
    <w:link w:val="1468"/>
    <w:pPr>
      <w:ind w:left="1701" w:hanging="1701"/>
      <w:jc w:val="both"/>
      <w:spacing w:before="120" w:after="120"/>
    </w:pPr>
    <w:rPr>
      <w:sz w:val="24"/>
    </w:rPr>
  </w:style>
  <w:style w:type="paragraph" w:styleId="1308" w:customStyle="1">
    <w:name w:val="_GOST_Note_Continue"/>
    <w:basedOn w:val="1307"/>
    <w:pPr>
      <w:ind w:firstLine="0"/>
    </w:pPr>
  </w:style>
  <w:style w:type="paragraph" w:styleId="1309" w:customStyle="1">
    <w:name w:val="_GOST_Reg"/>
    <w:next w:val="1305"/>
    <w:pPr>
      <w:contextualSpacing/>
      <w:jc w:val="center"/>
      <w:keepNext/>
      <w:pageBreakBefore/>
      <w:spacing w:before="120" w:after="120"/>
      <w:outlineLvl w:val="0"/>
    </w:pPr>
    <w:rPr>
      <w:b/>
      <w:caps/>
      <w:sz w:val="28"/>
    </w:rPr>
  </w:style>
  <w:style w:type="paragraph" w:styleId="1310" w:customStyle="1">
    <w:name w:val="_GOST_Script"/>
    <w:basedOn w:val="1280"/>
    <w:pPr>
      <w:ind w:left="567" w:right="29"/>
      <w:pBdr>
        <w:top w:val="single" w:color="000000" w:sz="4" w:space="1"/>
        <w:left w:val="single" w:color="000000" w:sz="4" w:space="4"/>
        <w:bottom w:val="single" w:color="000000" w:sz="4" w:space="1"/>
        <w:right w:val="single" w:color="000000" w:sz="4" w:space="4"/>
      </w:pBdr>
    </w:pPr>
    <w:rPr>
      <w:rFonts w:ascii="Courier New" w:hAnsi="Courier New"/>
      <w:spacing w:val="-20"/>
      <w:sz w:val="20"/>
      <w:lang w:val="en-US"/>
    </w:rPr>
  </w:style>
  <w:style w:type="paragraph" w:styleId="1311" w:customStyle="1">
    <w:name w:val="_GOST_Sign"/>
    <w:basedOn w:val="1309"/>
    <w:next w:val="1305"/>
    <w:pPr>
      <w:pageBreakBefore w:val="0"/>
      <w:outlineLvl w:val="9"/>
    </w:pPr>
  </w:style>
  <w:style w:type="character" w:styleId="1312" w:customStyle="1">
    <w:name w:val="_GOST_Sym_Bold"/>
    <w:rPr>
      <w:b/>
    </w:rPr>
  </w:style>
  <w:style w:type="character" w:styleId="1313" w:customStyle="1">
    <w:name w:val="_GOST_Sym_Bold_Italic"/>
    <w:rPr>
      <w:b/>
      <w:i/>
    </w:rPr>
  </w:style>
  <w:style w:type="character" w:styleId="1314" w:customStyle="1">
    <w:name w:val="_GOST_Sym_Italic"/>
    <w:rPr>
      <w:i/>
    </w:rPr>
  </w:style>
  <w:style w:type="table" w:styleId="1315" w:customStyle="1">
    <w:name w:val="_GOST_Table"/>
    <w:basedOn w:val="1291"/>
    <w:pPr>
      <w:jc w:val="both"/>
    </w:pPr>
    <w:rPr>
      <w:sz w:val="22"/>
    </w:rPr>
    <w:tblPr>
      <w:tblStyleRowBandSize w:val="1"/>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28" w:type="dxa"/>
        <w:top w:w="57" w:type="dxa"/>
        <w:right w:w="28" w:type="dxa"/>
        <w:bottom w:w="57" w:type="dxa"/>
      </w:tblCellMar>
    </w:tblPr>
    <w:tblStylePr w:type="band1Horz">
      <w:rPr>
        <w:rFonts w:ascii="Times New Roman" w:hAnsi="Times New Roman"/>
        <w:sz w:val="24"/>
      </w:rPr>
      <w:pPr>
        <w:ind w:left="57" w:right="57" w:firstLine="0"/>
        <w:jc w:val="left"/>
        <w:spacing w:beforeAutospacing="0" w:afterAutospacing="0" w:line="240" w:lineRule="auto"/>
        <w:outlineLvl w:val="9"/>
      </w:pPr>
    </w:tblStylePr>
    <w:tblStylePr w:type="band2Horz">
      <w:rPr>
        <w:rFonts w:ascii="Times New Roman" w:hAnsi="Times New Roman"/>
        <w:sz w:val="24"/>
      </w:rPr>
      <w:pPr>
        <w:contextualSpacing w:val="0"/>
        <w:ind w:left="57" w:right="57" w:firstLine="0"/>
        <w:jc w:val="left"/>
        <w:spacing w:beforeAutospacing="0" w:afterAutospacing="0"/>
        <w:outlineLvl w:val="9"/>
      </w:pPr>
    </w:tblStylePr>
    <w:tblStylePr w:type="firstRow">
      <w:rPr>
        <w:rFonts w:ascii="Times New Roman" w:hAnsi="Times New Roman"/>
        <w:b w:val="0"/>
        <w:sz w:val="22"/>
      </w:rPr>
      <w:pPr>
        <w:ind w:left="0" w:right="0" w:firstLine="0"/>
        <w:jc w:val="center"/>
        <w:spacing w:beforeAutospacing="0" w:afterAutospacing="0" w:line="240" w:lineRule="auto"/>
        <w:outlineLvl w:val="9"/>
      </w:pPr>
      <w:trPr>
        <w:tblHeader/>
      </w:trPr>
      <w:tcPr>
        <w:shd w:val="clear" w:color="auto" w:fill="e6e6e6"/>
        <w:tcBorders>
          <w:top w:val="single" w:color="000000" w:sz="4" w:space="0"/>
          <w:left w:val="single" w:color="000000" w:sz="4" w:space="0"/>
          <w:bottom w:val="single" w:color="000000" w:sz="4" w:space="0"/>
          <w:right w:val="single" w:color="000000" w:sz="4" w:space="0"/>
        </w:tcBorders>
        <w:vAlign w:val="center"/>
      </w:tcPr>
    </w:tblStylePr>
  </w:style>
  <w:style w:type="paragraph" w:styleId="1316" w:customStyle="1">
    <w:name w:val="_GOST_Table_norm"/>
    <w:link w:val="1561"/>
    <w:qFormat/>
    <w:pPr>
      <w:ind w:left="57" w:right="57"/>
      <w:jc w:val="both"/>
    </w:pPr>
    <w:rPr>
      <w:sz w:val="22"/>
    </w:rPr>
  </w:style>
  <w:style w:type="paragraph" w:styleId="1317" w:customStyle="1">
    <w:name w:val="_GOST_Table_Head"/>
    <w:basedOn w:val="1316"/>
    <w:link w:val="2318"/>
    <w:pPr>
      <w:ind w:left="0" w:right="0"/>
      <w:jc w:val="center"/>
      <w:keepNext/>
    </w:pPr>
    <w:rPr>
      <w:b/>
      <w:bCs/>
    </w:rPr>
  </w:style>
  <w:style w:type="paragraph" w:styleId="1318" w:customStyle="1">
    <w:name w:val="_GOST_Table_List_Mark_1"/>
    <w:link w:val="2324"/>
    <w:pPr>
      <w:numPr>
        <w:ilvl w:val="0"/>
        <w:numId w:val="19"/>
      </w:numPr>
      <w:ind w:left="283" w:right="57" w:hanging="170"/>
      <w:tabs>
        <w:tab w:val="left" w:pos="284" w:leader="none"/>
        <w:tab w:val="clear" w:pos="340" w:leader="none"/>
      </w:tabs>
    </w:pPr>
    <w:rPr>
      <w:sz w:val="22"/>
    </w:rPr>
  </w:style>
  <w:style w:type="paragraph" w:styleId="1319" w:customStyle="1">
    <w:name w:val="_GOST_Table_List_Num_1"/>
    <w:pPr>
      <w:numPr>
        <w:ilvl w:val="0"/>
        <w:numId w:val="125"/>
      </w:numPr>
    </w:pPr>
    <w:rPr>
      <w:sz w:val="22"/>
    </w:rPr>
  </w:style>
  <w:style w:type="paragraph" w:styleId="1320" w:customStyle="1">
    <w:name w:val="_GOST_Table_Num"/>
    <w:pPr>
      <w:numPr>
        <w:ilvl w:val="0"/>
        <w:numId w:val="126"/>
      </w:numPr>
    </w:pPr>
    <w:rPr>
      <w:sz w:val="22"/>
    </w:rPr>
  </w:style>
  <w:style w:type="paragraph" w:styleId="1321" w:customStyle="1">
    <w:name w:val="_GOST_Titul_0"/>
    <w:pPr>
      <w:contextualSpacing/>
      <w:jc w:val="center"/>
      <w:spacing w:line="360" w:lineRule="auto"/>
    </w:pPr>
    <w:rPr>
      <w:sz w:val="28"/>
      <w:szCs w:val="28"/>
    </w:rPr>
  </w:style>
  <w:style w:type="character" w:styleId="1322" w:customStyle="1">
    <w:name w:val="Текст примечания Знак"/>
    <w:link w:val="1345"/>
  </w:style>
  <w:style w:type="paragraph" w:styleId="1323" w:customStyle="1">
    <w:name w:val="_GOST_Titul_1"/>
    <w:pPr>
      <w:contextualSpacing/>
      <w:jc w:val="center"/>
      <w:spacing w:before="240" w:after="240"/>
    </w:pPr>
    <w:rPr>
      <w:sz w:val="32"/>
      <w:szCs w:val="28"/>
    </w:rPr>
  </w:style>
  <w:style w:type="paragraph" w:styleId="1324" w:customStyle="1">
    <w:name w:val="_GOST_Titul_2"/>
    <w:pPr>
      <w:jc w:val="center"/>
    </w:pPr>
    <w:rPr>
      <w:b/>
      <w:caps/>
      <w:sz w:val="32"/>
      <w:szCs w:val="28"/>
    </w:rPr>
  </w:style>
  <w:style w:type="paragraph" w:styleId="1325" w:customStyle="1">
    <w:name w:val="_GOST_Titul_name_doc"/>
    <w:pPr>
      <w:contextualSpacing/>
      <w:jc w:val="center"/>
      <w:spacing w:before="200" w:after="400"/>
    </w:pPr>
    <w:rPr>
      <w:b/>
      <w:sz w:val="32"/>
      <w:szCs w:val="28"/>
    </w:rPr>
  </w:style>
  <w:style w:type="paragraph" w:styleId="1326" w:customStyle="1">
    <w:name w:val="Заг_Приложение"/>
    <w:basedOn w:val="1281"/>
    <w:next w:val="1305"/>
    <w:pPr>
      <w:numPr>
        <w:ilvl w:val="0"/>
        <w:numId w:val="21"/>
      </w:numPr>
    </w:pPr>
  </w:style>
  <w:style w:type="paragraph" w:styleId="1327" w:customStyle="1">
    <w:name w:val="Заг_2_Приложение"/>
    <w:basedOn w:val="1326"/>
    <w:next w:val="1305"/>
    <w:link w:val="1328"/>
    <w:pPr>
      <w:numPr>
        <w:ilvl w:val="0"/>
        <w:numId w:val="0"/>
      </w:numPr>
      <w:ind w:left="454" w:hanging="454"/>
      <w:jc w:val="left"/>
      <w:pageBreakBefore w:val="0"/>
      <w:spacing w:after="240"/>
      <w:tabs>
        <w:tab w:val="clear" w:pos="567" w:leader="none"/>
      </w:tabs>
    </w:pPr>
    <w:rPr>
      <w:caps w:val="0"/>
    </w:rPr>
  </w:style>
  <w:style w:type="character" w:styleId="1328" w:customStyle="1">
    <w:name w:val="Заг_2_Приложение Знак"/>
    <w:link w:val="1327"/>
    <w:rPr>
      <w:b/>
      <w:sz w:val="32"/>
      <w:szCs w:val="36"/>
    </w:rPr>
  </w:style>
  <w:style w:type="paragraph" w:styleId="1329" w:customStyle="1">
    <w:name w:val="Заг_3_Приложение"/>
    <w:basedOn w:val="1280"/>
    <w:next w:val="1305"/>
    <w:pPr>
      <w:contextualSpacing/>
      <w:ind w:left="567" w:hanging="567"/>
      <w:keepNext/>
      <w:spacing w:before="240" w:after="120"/>
      <w:outlineLvl w:val="1"/>
    </w:pPr>
    <w:rPr>
      <w:rFonts w:cs="Arial"/>
      <w:b/>
      <w:bCs/>
      <w:iCs/>
      <w:sz w:val="28"/>
      <w:szCs w:val="28"/>
    </w:rPr>
  </w:style>
  <w:style w:type="paragraph" w:styleId="1330">
    <w:name w:val="Caption"/>
    <w:basedOn w:val="1280"/>
    <w:next w:val="1280"/>
    <w:link w:val="1842"/>
    <w:qFormat/>
    <w:rPr>
      <w:b/>
      <w:bCs/>
      <w:sz w:val="20"/>
    </w:rPr>
  </w:style>
  <w:style w:type="character" w:styleId="1331">
    <w:name w:val="Hyperlink"/>
    <w:uiPriority w:val="99"/>
    <w:rPr>
      <w:color w:val="0000ff"/>
      <w:u w:val="single"/>
    </w:rPr>
  </w:style>
  <w:style w:type="paragraph" w:styleId="1332">
    <w:name w:val="toc 1"/>
    <w:uiPriority w:val="39"/>
    <w:pPr>
      <w:ind w:left="454" w:right="567" w:hanging="454"/>
      <w:spacing w:before="60" w:after="60"/>
      <w:tabs>
        <w:tab w:val="left" w:pos="454" w:leader="none"/>
        <w:tab w:val="right" w:pos="9631" w:leader="dot"/>
      </w:tabs>
    </w:pPr>
    <w:rPr>
      <w:b/>
      <w:bCs/>
      <w:caps/>
      <w:sz w:val="24"/>
      <w:szCs w:val="24"/>
    </w:rPr>
  </w:style>
  <w:style w:type="paragraph" w:styleId="1333">
    <w:name w:val="toc 2"/>
    <w:basedOn w:val="1332"/>
    <w:uiPriority w:val="39"/>
    <w:pPr>
      <w:contextualSpacing/>
      <w:ind w:left="851" w:hanging="567"/>
      <w:tabs>
        <w:tab w:val="clear" w:pos="454" w:leader="none"/>
        <w:tab w:val="left" w:pos="851" w:leader="none"/>
      </w:tabs>
    </w:pPr>
    <w:rPr>
      <w:b w:val="0"/>
      <w:caps w:val="0"/>
    </w:rPr>
  </w:style>
  <w:style w:type="paragraph" w:styleId="1334">
    <w:name w:val="toc 3"/>
    <w:basedOn w:val="1333"/>
    <w:uiPriority w:val="39"/>
    <w:pPr>
      <w:ind w:left="1418" w:hanging="851"/>
      <w:tabs>
        <w:tab w:val="clear" w:pos="851" w:leader="none"/>
        <w:tab w:val="left" w:pos="1418" w:leader="none"/>
      </w:tabs>
    </w:pPr>
    <w:rPr>
      <w:iCs/>
    </w:rPr>
  </w:style>
  <w:style w:type="paragraph" w:styleId="1335">
    <w:name w:val="Body Text Indent"/>
    <w:basedOn w:val="1280"/>
    <w:next w:val="1280"/>
    <w:link w:val="1903"/>
    <w:pPr>
      <w:ind w:firstLine="425"/>
      <w:spacing w:line="360" w:lineRule="auto"/>
      <w:widowControl w:val="off"/>
      <w:tabs>
        <w:tab w:val="left" w:pos="1985" w:leader="none"/>
        <w:tab w:val="left" w:pos="2127" w:leader="none"/>
      </w:tabs>
    </w:pPr>
    <w:rPr>
      <w:sz w:val="20"/>
    </w:rPr>
  </w:style>
  <w:style w:type="paragraph" w:styleId="1336">
    <w:name w:val="Body Text Indent 2"/>
    <w:basedOn w:val="1280"/>
    <w:link w:val="2280"/>
    <w:semiHidden/>
    <w:pPr>
      <w:ind w:firstLine="425"/>
      <w:spacing w:line="360" w:lineRule="auto"/>
      <w:widowControl w:val="off"/>
      <w:tabs>
        <w:tab w:val="left" w:pos="1985" w:leader="none"/>
        <w:tab w:val="left" w:pos="2127" w:leader="none"/>
      </w:tabs>
    </w:pPr>
    <w:rPr>
      <w:b/>
      <w:sz w:val="20"/>
    </w:rPr>
  </w:style>
  <w:style w:type="paragraph" w:styleId="1337">
    <w:name w:val="Document Map"/>
    <w:basedOn w:val="1280"/>
    <w:link w:val="1674"/>
    <w:pPr>
      <w:shd w:val="clear" w:color="auto" w:fill="000080"/>
    </w:pPr>
    <w:rPr>
      <w:rFonts w:ascii="Tahoma" w:hAnsi="Tahoma" w:cs="Tahoma"/>
      <w:sz w:val="20"/>
    </w:rPr>
  </w:style>
  <w:style w:type="paragraph" w:styleId="1338">
    <w:name w:val="toc 4"/>
    <w:basedOn w:val="1280"/>
    <w:next w:val="1280"/>
    <w:uiPriority w:val="39"/>
    <w:pPr>
      <w:ind w:left="1872" w:right="567" w:hanging="1021"/>
      <w:tabs>
        <w:tab w:val="left" w:pos="1871" w:leader="none"/>
        <w:tab w:val="right" w:pos="9633" w:leader="dot"/>
      </w:tabs>
    </w:pPr>
  </w:style>
  <w:style w:type="paragraph" w:styleId="1339">
    <w:name w:val="Body Text 3"/>
    <w:basedOn w:val="1280"/>
    <w:link w:val="2281"/>
    <w:semiHidden/>
    <w:pPr>
      <w:spacing w:after="120"/>
    </w:pPr>
    <w:rPr>
      <w:sz w:val="16"/>
      <w:szCs w:val="16"/>
    </w:rPr>
  </w:style>
  <w:style w:type="paragraph" w:styleId="1340" w:customStyle="1">
    <w:name w:val="_GOST_List_normal_1"/>
    <w:pPr>
      <w:contextualSpacing/>
      <w:ind w:left="851"/>
      <w:jc w:val="both"/>
      <w:spacing w:before="60" w:after="60"/>
      <w:tabs>
        <w:tab w:val="left" w:pos="284" w:leader="none"/>
      </w:tabs>
    </w:pPr>
    <w:rPr>
      <w:sz w:val="24"/>
    </w:rPr>
  </w:style>
  <w:style w:type="numbering" w:styleId="1341">
    <w:name w:val="Outline List 2"/>
    <w:basedOn w:val="1292"/>
    <w:pPr>
      <w:numPr>
        <w:ilvl w:val="0"/>
        <w:numId w:val="1"/>
      </w:numPr>
    </w:pPr>
  </w:style>
  <w:style w:type="numbering" w:styleId="1342">
    <w:name w:val="Outline List 1"/>
    <w:basedOn w:val="1292"/>
    <w:semiHidden/>
    <w:pPr>
      <w:numPr>
        <w:ilvl w:val="0"/>
        <w:numId w:val="2"/>
      </w:numPr>
    </w:pPr>
  </w:style>
  <w:style w:type="paragraph" w:styleId="1343">
    <w:name w:val="Balloon Text"/>
    <w:basedOn w:val="1280"/>
    <w:link w:val="1667"/>
    <w:rPr>
      <w:rFonts w:ascii="Tahoma" w:hAnsi="Tahoma" w:cs="Tahoma"/>
      <w:sz w:val="16"/>
      <w:szCs w:val="16"/>
    </w:rPr>
  </w:style>
  <w:style w:type="paragraph" w:styleId="1344" w:customStyle="1">
    <w:name w:val="_GOST_List_normal_2.8"/>
    <w:pPr>
      <w:contextualSpacing/>
      <w:ind w:left="1588"/>
      <w:jc w:val="both"/>
      <w:spacing w:before="60" w:after="60"/>
      <w:tabs>
        <w:tab w:val="left" w:pos="1588" w:leader="none"/>
      </w:tabs>
    </w:pPr>
    <w:rPr>
      <w:sz w:val="24"/>
    </w:rPr>
  </w:style>
  <w:style w:type="paragraph" w:styleId="1345">
    <w:name w:val="annotation text"/>
    <w:basedOn w:val="1280"/>
    <w:link w:val="1322"/>
    <w:rPr>
      <w:sz w:val="20"/>
    </w:rPr>
  </w:style>
  <w:style w:type="paragraph" w:styleId="1346">
    <w:name w:val="annotation subject"/>
    <w:basedOn w:val="1345"/>
    <w:next w:val="1345"/>
    <w:link w:val="1670"/>
    <w:semiHidden/>
    <w:rPr>
      <w:b/>
      <w:bCs/>
    </w:rPr>
  </w:style>
  <w:style w:type="paragraph" w:styleId="1347">
    <w:name w:val="toc 5"/>
    <w:basedOn w:val="1280"/>
    <w:next w:val="1280"/>
    <w:uiPriority w:val="39"/>
    <w:pPr>
      <w:ind w:left="2410" w:right="567" w:hanging="1276"/>
      <w:jc w:val="left"/>
      <w:tabs>
        <w:tab w:val="left" w:pos="2410" w:leader="none"/>
        <w:tab w:val="right" w:pos="9631" w:leader="dot"/>
      </w:tabs>
    </w:pPr>
    <w:rPr>
      <w:szCs w:val="18"/>
    </w:rPr>
  </w:style>
  <w:style w:type="paragraph" w:styleId="1348">
    <w:name w:val="toc 6"/>
    <w:basedOn w:val="1280"/>
    <w:next w:val="1280"/>
    <w:pPr>
      <w:ind w:left="1200"/>
      <w:jc w:val="left"/>
    </w:pPr>
    <w:rPr>
      <w:sz w:val="18"/>
      <w:szCs w:val="18"/>
    </w:rPr>
  </w:style>
  <w:style w:type="paragraph" w:styleId="1349">
    <w:name w:val="toc 7"/>
    <w:basedOn w:val="1280"/>
    <w:next w:val="1280"/>
    <w:pPr>
      <w:ind w:left="1440"/>
      <w:jc w:val="left"/>
    </w:pPr>
    <w:rPr>
      <w:sz w:val="18"/>
      <w:szCs w:val="18"/>
    </w:rPr>
  </w:style>
  <w:style w:type="paragraph" w:styleId="1350">
    <w:name w:val="toc 8"/>
    <w:basedOn w:val="1280"/>
    <w:next w:val="1280"/>
    <w:pPr>
      <w:ind w:left="1680"/>
      <w:jc w:val="left"/>
    </w:pPr>
    <w:rPr>
      <w:sz w:val="18"/>
      <w:szCs w:val="18"/>
    </w:rPr>
  </w:style>
  <w:style w:type="paragraph" w:styleId="1351">
    <w:name w:val="toc 9"/>
    <w:basedOn w:val="1280"/>
    <w:next w:val="1280"/>
    <w:pPr>
      <w:ind w:left="1920"/>
      <w:jc w:val="left"/>
    </w:pPr>
    <w:rPr>
      <w:sz w:val="18"/>
      <w:szCs w:val="18"/>
    </w:rPr>
  </w:style>
  <w:style w:type="character" w:styleId="1352">
    <w:name w:val="footnote reference"/>
    <w:rPr>
      <w:vertAlign w:val="superscript"/>
    </w:rPr>
  </w:style>
  <w:style w:type="paragraph" w:styleId="1353">
    <w:name w:val="footnote text"/>
    <w:link w:val="1551"/>
  </w:style>
  <w:style w:type="paragraph" w:styleId="1354">
    <w:name w:val="List 4"/>
    <w:basedOn w:val="1280"/>
    <w:pPr>
      <w:ind w:left="1132" w:hanging="283"/>
    </w:pPr>
  </w:style>
  <w:style w:type="paragraph" w:styleId="1355">
    <w:name w:val="Body Text 2"/>
    <w:basedOn w:val="1280"/>
    <w:link w:val="1553"/>
    <w:pPr>
      <w:spacing w:after="120" w:line="480" w:lineRule="auto"/>
    </w:pPr>
  </w:style>
  <w:style w:type="paragraph" w:styleId="1356">
    <w:name w:val="Body Text Indent 3"/>
    <w:basedOn w:val="1280"/>
    <w:link w:val="2283"/>
    <w:semiHidden/>
    <w:pPr>
      <w:ind w:left="283"/>
      <w:spacing w:after="120"/>
    </w:pPr>
    <w:rPr>
      <w:sz w:val="16"/>
      <w:szCs w:val="16"/>
    </w:rPr>
  </w:style>
  <w:style w:type="character" w:styleId="1357">
    <w:name w:val="FollowedHyperlink"/>
    <w:rPr>
      <w:color w:val="800080"/>
      <w:u w:val="single"/>
    </w:rPr>
  </w:style>
  <w:style w:type="character" w:styleId="1358">
    <w:name w:val="HTML Variable"/>
    <w:semiHidden/>
    <w:rPr>
      <w:i/>
      <w:iCs/>
    </w:rPr>
  </w:style>
  <w:style w:type="character" w:styleId="1359">
    <w:name w:val="HTML Typewriter"/>
    <w:semiHidden/>
    <w:rPr>
      <w:rFonts w:ascii="Courier New" w:hAnsi="Courier New" w:cs="Courier New"/>
      <w:sz w:val="20"/>
      <w:szCs w:val="20"/>
    </w:rPr>
  </w:style>
  <w:style w:type="paragraph" w:styleId="1360">
    <w:name w:val="Subtitle"/>
    <w:basedOn w:val="1280"/>
    <w:link w:val="1759"/>
    <w:qFormat/>
    <w:pPr>
      <w:jc w:val="center"/>
      <w:spacing w:after="60"/>
      <w:outlineLvl w:val="1"/>
    </w:pPr>
    <w:rPr>
      <w:rFonts w:ascii="Arial" w:hAnsi="Arial" w:cs="Arial"/>
    </w:rPr>
  </w:style>
  <w:style w:type="paragraph" w:styleId="1361">
    <w:name w:val="Salutation"/>
    <w:basedOn w:val="1280"/>
    <w:next w:val="1280"/>
    <w:link w:val="2284"/>
    <w:semiHidden/>
  </w:style>
  <w:style w:type="paragraph" w:styleId="1362">
    <w:name w:val="List Continue"/>
    <w:basedOn w:val="1280"/>
    <w:link w:val="2012"/>
    <w:pPr>
      <w:ind w:left="283"/>
      <w:spacing w:after="120"/>
    </w:pPr>
  </w:style>
  <w:style w:type="paragraph" w:styleId="1363">
    <w:name w:val="List Continue 2"/>
    <w:basedOn w:val="1280"/>
    <w:pPr>
      <w:ind w:left="566"/>
      <w:spacing w:after="120"/>
    </w:pPr>
  </w:style>
  <w:style w:type="paragraph" w:styleId="1364">
    <w:name w:val="List Continue 3"/>
    <w:basedOn w:val="1280"/>
    <w:pPr>
      <w:ind w:left="849"/>
      <w:spacing w:after="120"/>
    </w:pPr>
  </w:style>
  <w:style w:type="paragraph" w:styleId="1365">
    <w:name w:val="List Continue 4"/>
    <w:basedOn w:val="1280"/>
    <w:pPr>
      <w:ind w:left="1132"/>
      <w:spacing w:after="120"/>
    </w:pPr>
  </w:style>
  <w:style w:type="paragraph" w:styleId="1366">
    <w:name w:val="List Continue 5"/>
    <w:basedOn w:val="1280"/>
    <w:pPr>
      <w:ind w:left="1415"/>
      <w:spacing w:after="120"/>
    </w:pPr>
  </w:style>
  <w:style w:type="table" w:styleId="1367">
    <w:name w:val="Table Simple 1"/>
    <w:basedOn w:val="1291"/>
    <w:semiHidden/>
    <w:tblPr>
      <w:tblBorders>
        <w:top w:val="single" w:color="008000" w:sz="12" w:space="0"/>
        <w:bottom w:val="single" w:color="008000" w:sz="12" w:space="0"/>
      </w:tblBorders>
    </w:tblPr>
    <w:tcPr>
      <w:shd w:val="clear" w:color="auto" w:fill="auto"/>
    </w:tcPr>
    <w:tblStylePr w:type="firstRow">
      <w:tcPr>
        <w:tcBorders>
          <w:bottom w:val="single" w:color="008000" w:sz="6" w:space="0"/>
        </w:tcBorders>
      </w:tcPr>
    </w:tblStylePr>
    <w:tblStylePr w:type="lastRow">
      <w:tcPr>
        <w:tcBorders>
          <w:top w:val="single" w:color="008000" w:sz="6" w:space="0"/>
        </w:tcBorders>
      </w:tcPr>
    </w:tblStylePr>
  </w:style>
  <w:style w:type="table" w:styleId="1368">
    <w:name w:val="Table Simple 2"/>
    <w:basedOn w:val="1291"/>
    <w:tblPr/>
    <w:tblStylePr w:type="firstCol">
      <w:rPr>
        <w:b/>
        <w:bCs/>
      </w:rPr>
      <w:tcPr>
        <w:tcBorders>
          <w:right w:val="single" w:color="000000" w:sz="12" w:space="0"/>
        </w:tcBorders>
      </w:tcPr>
    </w:tblStylePr>
    <w:tblStylePr w:type="firstRow">
      <w:rPr>
        <w:b/>
        <w:bCs/>
      </w:rPr>
      <w:tcPr>
        <w:tcBorders>
          <w:bottom w:val="single" w:color="000000" w:sz="12" w:space="0"/>
        </w:tcBorders>
      </w:tcPr>
    </w:tblStylePr>
    <w:tblStylePr w:type="lastCol">
      <w:rPr>
        <w:b/>
        <w:bCs/>
      </w:rPr>
      <w:tcPr>
        <w:tcBorders>
          <w:left w:val="single" w:color="000000" w:sz="6" w:space="0"/>
        </w:tcBorders>
      </w:tcPr>
    </w:tblStylePr>
    <w:tblStylePr w:type="lastRow">
      <w:rPr>
        <w:b/>
        <w:bCs/>
        <w:color w:val="auto"/>
      </w:rPr>
      <w:tcPr>
        <w:tcBorders>
          <w:top w:val="single" w:color="000000" w:sz="6" w:space="0"/>
        </w:tcBorders>
      </w:tcPr>
    </w:tblStylePr>
    <w:tblStylePr w:type="neCell">
      <w:rPr>
        <w:b/>
        <w:bCs/>
      </w:rPr>
      <w:tcPr>
        <w:tcBorders>
          <w:left w:val="none" w:color="000000" w:sz="0" w:space="0"/>
        </w:tcBorders>
      </w:tcPr>
    </w:tblStylePr>
    <w:tblStylePr w:type="swCell">
      <w:rPr>
        <w:b/>
        <w:bCs/>
      </w:rPr>
      <w:tcPr>
        <w:tcBorders>
          <w:top w:val="none" w:color="000000" w:sz="0" w:space="0"/>
        </w:tcBorders>
      </w:tcPr>
    </w:tblStylePr>
  </w:style>
  <w:style w:type="table" w:styleId="1369">
    <w:name w:val="Table Simple 3"/>
    <w:basedOn w:val="1291"/>
    <w:semiHidden/>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shd w:val="solid" w:color="000000" w:fill="ffffff"/>
      </w:tcPr>
    </w:tblStylePr>
  </w:style>
  <w:style w:type="table" w:styleId="1370">
    <w:name w:val="Table Grid 1"/>
    <w:basedOn w:val="1291"/>
    <w:semiHidden/>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Col">
      <w:rPr>
        <w:i/>
        <w:iCs/>
      </w:rPr>
    </w:tblStylePr>
    <w:tblStylePr w:type="lastRow">
      <w:rPr>
        <w:i/>
        <w:iCs/>
      </w:rPr>
    </w:tblStylePr>
  </w:style>
  <w:style w:type="table" w:styleId="1371">
    <w:name w:val="Table Grid 2"/>
    <w:basedOn w:val="1291"/>
    <w:semiHidden/>
    <w:tblPr>
      <w:tblBorders>
        <w:insideH w:val="single" w:color="000000" w:sz="6" w:space="0"/>
        <w:insideV w:val="single" w:color="000000" w:sz="6" w:space="0"/>
      </w:tblBorders>
    </w:tblPr>
    <w:tcPr>
      <w:shd w:val="clear" w:color="auto" w:fill="auto"/>
    </w:tcPr>
    <w:tblStylePr w:type="firstCol">
      <w:rPr>
        <w:b/>
        <w:bCs/>
      </w:rPr>
    </w:tblStylePr>
    <w:tblStylePr w:type="firstRow">
      <w:rPr>
        <w:b/>
        <w:bCs/>
      </w:rPr>
    </w:tblStylePr>
    <w:tblStylePr w:type="lastCol">
      <w:rPr>
        <w:b/>
        <w:bCs/>
      </w:rPr>
    </w:tblStylePr>
    <w:tblStylePr w:type="lastRow">
      <w:rPr>
        <w:b/>
        <w:bCs/>
      </w:rPr>
      <w:tcPr>
        <w:tcBorders>
          <w:top w:val="single" w:color="000000" w:sz="6" w:space="0"/>
        </w:tcBorders>
      </w:tcPr>
    </w:tblStylePr>
  </w:style>
  <w:style w:type="table" w:styleId="1372">
    <w:name w:val="Table Grid 3"/>
    <w:basedOn w:val="1291"/>
    <w:semiHidden/>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shd w:val="pct30" w:color="ffff00" w:fill="ffffff"/>
        <w:tcBorders>
          <w:bottom w:val="single" w:color="000000" w:sz="6" w:space="0"/>
        </w:tcBorders>
      </w:tcPr>
    </w:tblStylePr>
    <w:tblStylePr w:type="lastCol">
      <w:rPr>
        <w:b/>
        <w:bCs/>
      </w:rPr>
    </w:tblStylePr>
    <w:tblStylePr w:type="lastRow">
      <w:rPr>
        <w:b/>
        <w:bCs/>
      </w:rPr>
    </w:tblStylePr>
  </w:style>
  <w:style w:type="table" w:styleId="1373">
    <w:name w:val="Table Grid 4"/>
    <w:basedOn w:val="1291"/>
    <w:semiHidden/>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cPr>
        <w:shd w:val="pct30" w:color="ffff00" w:fill="ffffff"/>
        <w:tcBorders>
          <w:bottom w:val="single" w:color="000000" w:sz="6" w:space="0"/>
        </w:tcBorders>
      </w:tcPr>
    </w:tblStylePr>
    <w:tblStylePr w:type="lastCol">
      <w:rPr>
        <w:b/>
        <w:bCs/>
        <w:color w:val="auto"/>
      </w:rPr>
    </w:tblStylePr>
    <w:tblStylePr w:type="lastRow">
      <w:rPr>
        <w:b/>
        <w:bCs/>
        <w:color w:val="auto"/>
      </w:rPr>
      <w:tcPr>
        <w:shd w:val="pct30" w:color="ffff00" w:fill="ffffff"/>
        <w:tcBorders>
          <w:top w:val="single" w:color="000000" w:sz="6" w:space="0"/>
        </w:tcBorders>
      </w:tcPr>
    </w:tblStylePr>
  </w:style>
  <w:style w:type="table" w:styleId="1374">
    <w:name w:val="Table Grid 5"/>
    <w:basedOn w:val="1291"/>
    <w:semiHidden/>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bottom w:val="single" w:color="000000" w:sz="12" w:space="0"/>
        </w:tcBorders>
      </w:tcPr>
    </w:tblStylePr>
    <w:tblStylePr w:type="lastCol">
      <w:rPr>
        <w:b/>
        <w:bCs/>
      </w:rPr>
    </w:tblStylePr>
    <w:tblStylePr w:type="lastRow">
      <w:rPr>
        <w:b/>
        <w:bCs/>
      </w:rPr>
    </w:tblStylePr>
  </w:style>
  <w:style w:type="table" w:styleId="1375">
    <w:name w:val="Table Grid 6"/>
    <w:basedOn w:val="1291"/>
    <w:semiHidden/>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Col">
      <w:rPr>
        <w:b/>
        <w:bCs/>
      </w:rPr>
    </w:tblStylePr>
    <w:tblStylePr w:type="firstRow">
      <w:rPr>
        <w:b/>
        <w:bCs/>
      </w:rPr>
      <w:tcPr>
        <w:tcBorders>
          <w:bottom w:val="single" w:color="000000" w:sz="6" w:space="0"/>
        </w:tcBorders>
      </w:tcPr>
    </w:tblStylePr>
    <w:tblStylePr w:type="lastRow">
      <w:rPr>
        <w:color w:val="auto"/>
      </w:rPr>
      <w:tcPr>
        <w:tcBorders>
          <w:top w:val="single" w:color="000000" w:sz="6" w:space="0"/>
        </w:tcBorders>
      </w:tcPr>
    </w:tblStylePr>
  </w:style>
  <w:style w:type="table" w:styleId="1376">
    <w:name w:val="Table Grid 7"/>
    <w:basedOn w:val="1291"/>
    <w:semiHidden/>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Col">
      <w:rPr>
        <w:b w:val="0"/>
        <w:bCs w:val="0"/>
      </w:rPr>
    </w:tblStylePr>
    <w:tblStylePr w:type="firstRow">
      <w:rPr>
        <w:b w:val="0"/>
        <w:bCs w:val="0"/>
      </w:rPr>
      <w:tcPr>
        <w:tcBorders>
          <w:bottom w:val="single" w:color="000000" w:sz="12" w:space="0"/>
        </w:tcBorders>
      </w:tcPr>
    </w:tblStylePr>
    <w:tblStylePr w:type="lastCol">
      <w:rPr>
        <w:b w:val="0"/>
        <w:bCs w:val="0"/>
      </w:rPr>
    </w:tblStylePr>
    <w:tblStylePr w:type="lastRow">
      <w:rPr>
        <w:b w:val="0"/>
        <w:bCs w:val="0"/>
      </w:rPr>
      <w:tcPr>
        <w:tcBorders>
          <w:top w:val="single" w:color="000000" w:sz="6" w:space="0"/>
        </w:tcBorders>
      </w:tcPr>
    </w:tblStylePr>
  </w:style>
  <w:style w:type="table" w:styleId="1377">
    <w:name w:val="Table Grid 8"/>
    <w:basedOn w:val="1291"/>
    <w:semiHidden/>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Col">
      <w:rPr>
        <w:b/>
        <w:bCs/>
        <w:color w:val="auto"/>
      </w:rPr>
    </w:tblStylePr>
    <w:tblStylePr w:type="lastRow">
      <w:rPr>
        <w:b/>
        <w:bCs/>
        <w:color w:val="auto"/>
      </w:rPr>
    </w:tblStylePr>
  </w:style>
  <w:style w:type="table" w:styleId="1378">
    <w:name w:val="Table Contemporary"/>
    <w:basedOn w:val="1291"/>
    <w:semiHidden/>
    <w:tblPr>
      <w:tblStyleRowBandSize w:val="1"/>
      <w:tblBorders>
        <w:insideH w:val="single" w:color="FFFFFF" w:sz="18" w:space="0"/>
        <w:insideV w:val="single" w:color="FFFFFF" w:sz="18" w:space="0"/>
      </w:tblBorders>
    </w:tblPr>
    <w:tblStylePr w:type="band1Horz">
      <w:rPr>
        <w:color w:val="auto"/>
      </w:rPr>
      <w:tcPr>
        <w:shd w:val="pct5" w:color="000000" w:fill="ffffff"/>
      </w:tcPr>
    </w:tblStylePr>
    <w:tblStylePr w:type="band2Horz">
      <w:rPr>
        <w:color w:val="auto"/>
      </w:rPr>
      <w:tcPr>
        <w:shd w:val="pct20" w:color="000000" w:fill="ffffff"/>
      </w:tcPr>
    </w:tblStylePr>
    <w:tblStylePr w:type="firstRow">
      <w:rPr>
        <w:b/>
        <w:bCs/>
        <w:color w:val="auto"/>
      </w:rPr>
      <w:tcPr>
        <w:shd w:val="pct20" w:color="000000" w:fill="ffffff"/>
      </w:tcPr>
    </w:tblStylePr>
  </w:style>
  <w:style w:type="paragraph" w:styleId="1379">
    <w:name w:val="List"/>
    <w:basedOn w:val="1280"/>
    <w:pPr>
      <w:ind w:left="283" w:hanging="283"/>
    </w:pPr>
  </w:style>
  <w:style w:type="paragraph" w:styleId="1380">
    <w:name w:val="List 2"/>
    <w:basedOn w:val="1280"/>
    <w:pPr>
      <w:ind w:left="566" w:hanging="283"/>
    </w:pPr>
  </w:style>
  <w:style w:type="paragraph" w:styleId="1381">
    <w:name w:val="List 3"/>
    <w:basedOn w:val="1280"/>
    <w:pPr>
      <w:ind w:left="849" w:hanging="283"/>
    </w:pPr>
  </w:style>
  <w:style w:type="paragraph" w:styleId="1382">
    <w:name w:val="List 5"/>
    <w:basedOn w:val="1280"/>
    <w:pPr>
      <w:ind w:left="1415" w:hanging="283"/>
    </w:pPr>
  </w:style>
  <w:style w:type="table" w:styleId="1383">
    <w:name w:val="Table Professional"/>
    <w:basedOn w:val="1291"/>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paragraph" w:styleId="1384">
    <w:name w:val="HTML Preformatted"/>
    <w:basedOn w:val="1280"/>
    <w:link w:val="1663"/>
    <w:rPr>
      <w:rFonts w:ascii="Courier New" w:hAnsi="Courier New" w:cs="Courier New"/>
      <w:sz w:val="20"/>
    </w:rPr>
  </w:style>
  <w:style w:type="numbering" w:styleId="1385">
    <w:name w:val="Outline List 3"/>
    <w:basedOn w:val="1292"/>
    <w:pPr>
      <w:numPr>
        <w:ilvl w:val="0"/>
        <w:numId w:val="12"/>
      </w:numPr>
    </w:pPr>
  </w:style>
  <w:style w:type="table" w:styleId="1386">
    <w:name w:val="Table Columns 1"/>
    <w:basedOn w:val="1291"/>
    <w:semiHidden/>
    <w:rPr>
      <w:b/>
      <w:bCs/>
    </w:rPr>
    <w:tblPr>
      <w:tblStyleColBandSize w:val="1"/>
      <w:tblBorders>
        <w:top w:val="single" w:color="000000" w:sz="12" w:space="0"/>
        <w:left w:val="single" w:color="000000" w:sz="12" w:space="0"/>
        <w:bottom w:val="single" w:color="000000" w:sz="12" w:space="0"/>
        <w:right w:val="single" w:color="000000" w:sz="12" w:space="0"/>
      </w:tblBorders>
    </w:tblPr>
    <w:tblStylePr w:type="band1Vert">
      <w:rPr>
        <w:color w:val="auto"/>
      </w:rPr>
      <w:tcPr>
        <w:shd w:val="pct25" w:color="000000" w:fill="ffffff"/>
      </w:tcPr>
    </w:tblStylePr>
    <w:tblStylePr w:type="band2Vert">
      <w:rPr>
        <w:color w:val="auto"/>
      </w:rPr>
      <w:tcPr>
        <w:shd w:val="pct25" w:color="ffff00" w:fill="ffffff"/>
      </w:tcPr>
    </w:tblStylePr>
    <w:tblStylePr w:type="firstCol">
      <w:rPr>
        <w:b w:val="0"/>
        <w:bCs w:val="0"/>
      </w:rPr>
    </w:tblStylePr>
    <w:tblStylePr w:type="firstRow">
      <w:rPr>
        <w:b w:val="0"/>
        <w:bCs w:val="0"/>
      </w:rPr>
      <w:tcPr>
        <w:tcBorders>
          <w:bottom w:val="single" w:color="000000" w:sz="6" w:space="0"/>
        </w:tcBorders>
      </w:tcPr>
    </w:tblStylePr>
    <w:tblStylePr w:type="lastCol">
      <w:rPr>
        <w:b w:val="0"/>
        <w:bCs w:val="0"/>
      </w:rPr>
    </w:tblStylePr>
    <w:tblStylePr w:type="lastRow">
      <w:rPr>
        <w:b w:val="0"/>
        <w:bCs w:val="0"/>
      </w:rPr>
    </w:tblStylePr>
    <w:tblStylePr w:type="neCell">
      <w:rPr>
        <w:b/>
        <w:bCs/>
      </w:rPr>
    </w:tblStylePr>
    <w:tblStylePr w:type="swCell">
      <w:rPr>
        <w:b/>
        <w:bCs/>
      </w:rPr>
    </w:tblStylePr>
  </w:style>
  <w:style w:type="table" w:styleId="1387">
    <w:name w:val="Table Columns 2"/>
    <w:basedOn w:val="1291"/>
    <w:semiHidden/>
    <w:rPr>
      <w:b/>
      <w:bCs/>
    </w:rPr>
    <w:tblPr>
      <w:tblStyleColBandSize w:val="1"/>
    </w:tblPr>
    <w:tblStylePr w:type="band1Vert">
      <w:rPr>
        <w:color w:val="auto"/>
      </w:rPr>
      <w:tcPr>
        <w:shd w:val="pct30" w:color="000000" w:fill="ffffff"/>
      </w:tcPr>
    </w:tblStylePr>
    <w:tblStylePr w:type="band2Vert">
      <w:rPr>
        <w:color w:val="auto"/>
      </w:rPr>
      <w:tcPr>
        <w:shd w:val="pct25" w:color="00ff00" w:fill="ffffff"/>
      </w:tcPr>
    </w:tblStylePr>
    <w:tblStylePr w:type="firstCol">
      <w:rPr>
        <w:b w:val="0"/>
        <w:bCs w:val="0"/>
        <w:color w:val="000000"/>
      </w:rPr>
    </w:tblStylePr>
    <w:tblStylePr w:type="firstRow">
      <w:rPr>
        <w:color w:val="ffffff"/>
      </w:rPr>
      <w:tcPr>
        <w:shd w:val="solid" w:color="000080" w:fill="ffffff"/>
      </w:tcPr>
    </w:tblStylePr>
    <w:tblStylePr w:type="lastCol">
      <w:rPr>
        <w:b w:val="0"/>
        <w:bCs w:val="0"/>
      </w:rPr>
    </w:tblStylePr>
    <w:tblStylePr w:type="lastRow">
      <w:rPr>
        <w:b w:val="0"/>
        <w:bCs w:val="0"/>
      </w:rPr>
    </w:tblStylePr>
    <w:tblStylePr w:type="neCell">
      <w:rPr>
        <w:b/>
        <w:bCs/>
      </w:rPr>
    </w:tblStylePr>
    <w:tblStylePr w:type="swCell">
      <w:rPr>
        <w:b/>
        <w:bCs/>
      </w:rPr>
    </w:tblStylePr>
  </w:style>
  <w:style w:type="table" w:styleId="1388">
    <w:name w:val="Table Columns 3"/>
    <w:basedOn w:val="1291"/>
    <w:semiHidden/>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band1Vert">
      <w:rPr>
        <w:color w:val="auto"/>
      </w:rPr>
      <w:tcPr>
        <w:shd w:val="solid" w:color="c0c0c0" w:fill="ffffff"/>
      </w:tcPr>
    </w:tblStylePr>
    <w:tblStylePr w:type="band2Vert">
      <w:rPr>
        <w:color w:val="auto"/>
      </w:rPr>
      <w:tcPr>
        <w:shd w:val="pct10" w:color="000000" w:fill="ffffff"/>
      </w:tcPr>
    </w:tblStylePr>
    <w:tblStylePr w:type="firstCol">
      <w:rPr>
        <w:b w:val="0"/>
        <w:bCs w:val="0"/>
      </w:rPr>
    </w:tblStylePr>
    <w:tblStylePr w:type="firstRow">
      <w:rPr>
        <w:color w:val="ffffff"/>
      </w:rPr>
      <w:tcPr>
        <w:shd w:val="solid" w:color="000080" w:fill="ffffff"/>
      </w:tcPr>
    </w:tblStylePr>
    <w:tblStylePr w:type="lastCol">
      <w:rPr>
        <w:b w:val="0"/>
        <w:bCs w:val="0"/>
      </w:rPr>
    </w:tblStylePr>
    <w:tblStylePr w:type="lastRow">
      <w:rPr>
        <w:b w:val="0"/>
        <w:bCs w:val="0"/>
      </w:rPr>
      <w:tcPr>
        <w:tcBorders>
          <w:top w:val="single" w:color="000080" w:sz="6" w:space="0"/>
        </w:tcBorders>
      </w:tcPr>
    </w:tblStylePr>
    <w:tblStylePr w:type="neCell">
      <w:rPr>
        <w:b/>
        <w:bCs/>
      </w:rPr>
    </w:tblStylePr>
  </w:style>
  <w:style w:type="table" w:styleId="1389">
    <w:name w:val="Table Columns 4"/>
    <w:basedOn w:val="1291"/>
    <w:semiHidden/>
    <w:tblPr>
      <w:tblStyleColBandSize w:val="1"/>
    </w:tblPr>
    <w:tblStylePr w:type="band1Vert">
      <w:rPr>
        <w:color w:val="auto"/>
      </w:rPr>
      <w:tcPr>
        <w:shd w:val="pct50" w:color="008080" w:fill="ffffff"/>
      </w:tcPr>
    </w:tblStylePr>
    <w:tblStylePr w:type="band2Vert">
      <w:rPr>
        <w:color w:val="auto"/>
      </w:rPr>
      <w:tcPr>
        <w:shd w:val="pct10" w:color="000000" w:fill="ffffff"/>
      </w:tcPr>
    </w:tblStylePr>
    <w:tblStylePr w:type="firstRow">
      <w:rPr>
        <w:color w:val="ffffff"/>
      </w:rPr>
      <w:tcPr>
        <w:shd w:val="solid" w:color="000000" w:fill="ffffff"/>
      </w:tcPr>
    </w:tblStylePr>
    <w:tblStylePr w:type="lastCol">
      <w:rPr>
        <w:b/>
        <w:bCs/>
      </w:rPr>
    </w:tblStylePr>
    <w:tblStylePr w:type="lastRow">
      <w:rPr>
        <w:b/>
        <w:bCs/>
      </w:rPr>
    </w:tblStylePr>
  </w:style>
  <w:style w:type="table" w:styleId="1390">
    <w:name w:val="Table Columns 5"/>
    <w:basedOn w:val="1291"/>
    <w:semiHidden/>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band1Vert">
      <w:rPr>
        <w:color w:val="auto"/>
      </w:rPr>
      <w:tcPr>
        <w:shd w:val="solid" w:color="c0c0c0" w:fill="ffffff"/>
      </w:tcPr>
    </w:tblStylePr>
    <w:tblStylePr w:type="band2Vert">
      <w:rPr>
        <w:color w:val="auto"/>
      </w:rPr>
    </w:tblStylePr>
    <w:tblStylePr w:type="firstCol">
      <w:rPr>
        <w:b/>
        <w:bCs/>
      </w:rPr>
    </w:tblStylePr>
    <w:tblStylePr w:type="firstRow">
      <w:rPr>
        <w:b/>
        <w:bCs/>
        <w:i/>
        <w:iCs/>
      </w:rPr>
      <w:tcPr>
        <w:tcBorders>
          <w:bottom w:val="single" w:color="808080" w:sz="6" w:space="0"/>
        </w:tcBorders>
      </w:tcPr>
    </w:tblStylePr>
    <w:tblStylePr w:type="lastCol">
      <w:rPr>
        <w:b/>
        <w:bCs/>
      </w:rPr>
    </w:tblStylePr>
    <w:tblStylePr w:type="lastRow">
      <w:rPr>
        <w:b/>
        <w:bCs/>
      </w:rPr>
      <w:tcPr>
        <w:tcBorders>
          <w:top w:val="single" w:color="808080" w:sz="6" w:space="0"/>
        </w:tcBorders>
      </w:tcPr>
    </w:tblStylePr>
  </w:style>
  <w:style w:type="character" w:styleId="1391">
    <w:name w:val="Strong"/>
    <w:qFormat/>
    <w:rPr>
      <w:b/>
      <w:bCs/>
    </w:rPr>
  </w:style>
  <w:style w:type="table" w:styleId="1392">
    <w:name w:val="Table List 1"/>
    <w:basedOn w:val="1291"/>
    <w:semiHidden/>
    <w:tblPr>
      <w:tblStyleRowBandSize w:val="1"/>
      <w:tblBorders>
        <w:top w:val="single" w:color="008080" w:sz="12" w:space="0"/>
        <w:left w:val="single" w:color="008080" w:sz="6" w:space="0"/>
        <w:bottom w:val="single" w:color="008080" w:sz="12" w:space="0"/>
        <w:right w:val="single" w:color="008080" w:sz="6" w:space="0"/>
      </w:tblBorders>
    </w:tblPr>
    <w:tblStylePr w:type="band1Horz">
      <w:rPr>
        <w:color w:val="auto"/>
      </w:rPr>
      <w:tcPr>
        <w:shd w:val="solid" w:color="c0c0c0" w:fill="ffffff"/>
      </w:tcPr>
    </w:tblStylePr>
    <w:tblStylePr w:type="band2Horz">
      <w:rPr>
        <w:color w:val="auto"/>
      </w:rPr>
    </w:tblStylePr>
    <w:tblStylePr w:type="firstRow">
      <w:rPr>
        <w:b/>
        <w:bCs/>
        <w:i/>
        <w:iCs/>
        <w:color w:val="800000"/>
      </w:rPr>
      <w:tcPr>
        <w:shd w:val="solid" w:color="c0c0c0" w:fill="ffffff"/>
        <w:tcBorders>
          <w:bottom w:val="single" w:color="000000" w:sz="6" w:space="0"/>
        </w:tcBorders>
      </w:tcPr>
    </w:tblStylePr>
    <w:tblStylePr w:type="lastRow">
      <w:tcPr>
        <w:tcBorders>
          <w:top w:val="single" w:color="000000" w:sz="6" w:space="0"/>
        </w:tcBorders>
      </w:tcPr>
    </w:tblStylePr>
    <w:tblStylePr w:type="swCell">
      <w:rPr>
        <w:b/>
        <w:bCs/>
      </w:rPr>
    </w:tblStylePr>
  </w:style>
  <w:style w:type="table" w:styleId="1393">
    <w:name w:val="Table List 2"/>
    <w:basedOn w:val="1291"/>
    <w:semiHidden/>
    <w:tblPr>
      <w:tblStyleRowBandSize w:val="2"/>
      <w:tblBorders>
        <w:bottom w:val="single" w:color="808080" w:sz="12" w:space="0"/>
      </w:tblBorders>
    </w:tblPr>
    <w:tblStylePr w:type="band1Horz">
      <w:rPr>
        <w:color w:val="auto"/>
      </w:rPr>
      <w:tcPr>
        <w:shd w:val="pct20" w:color="00ff00" w:fill="ffffff"/>
      </w:tcPr>
    </w:tblStylePr>
    <w:tblStylePr w:type="band2Horz">
      <w:rPr>
        <w:color w:val="auto"/>
      </w:rPr>
    </w:tblStylePr>
    <w:tblStylePr w:type="firstRow">
      <w:rPr>
        <w:b/>
        <w:bCs/>
        <w:color w:val="ffffff"/>
      </w:rPr>
      <w:tcPr>
        <w:shd w:val="pct75" w:color="008080" w:fill="008000"/>
        <w:tcBorders>
          <w:bottom w:val="single" w:color="000000" w:sz="6" w:space="0"/>
        </w:tcBorders>
      </w:tcPr>
    </w:tblStylePr>
    <w:tblStylePr w:type="lastRow">
      <w:tcPr>
        <w:tcBorders>
          <w:top w:val="single" w:color="000000" w:sz="6" w:space="0"/>
        </w:tcBorders>
      </w:tcPr>
    </w:tblStylePr>
    <w:tblStylePr w:type="swCell">
      <w:rPr>
        <w:b/>
        <w:bCs/>
      </w:rPr>
    </w:tblStylePr>
  </w:style>
  <w:style w:type="table" w:styleId="1394">
    <w:name w:val="Table List 3"/>
    <w:basedOn w:val="1291"/>
    <w:semiHidden/>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bottom w:val="single" w:color="000000" w:sz="12" w:space="0"/>
        </w:tcBorders>
      </w:tcPr>
    </w:tblStylePr>
    <w:tblStylePr w:type="lastRow">
      <w:tcPr>
        <w:tcBorders>
          <w:top w:val="single" w:color="000000" w:sz="12" w:space="0"/>
        </w:tcBorders>
      </w:tcPr>
    </w:tblStylePr>
    <w:tblStylePr w:type="swCell">
      <w:rPr>
        <w:i/>
        <w:iCs/>
        <w:color w:val="000080"/>
      </w:rPr>
    </w:tblStylePr>
  </w:style>
  <w:style w:type="table" w:styleId="1395">
    <w:name w:val="Table List 4"/>
    <w:basedOn w:val="1291"/>
    <w:semiHidden/>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cPr>
        <w:shd w:val="solid" w:color="808080" w:fill="ffffff"/>
        <w:tcBorders>
          <w:bottom w:val="single" w:color="000000" w:sz="12" w:space="0"/>
        </w:tcBorders>
      </w:tcPr>
    </w:tblStylePr>
  </w:style>
  <w:style w:type="table" w:styleId="1396">
    <w:name w:val="Table List 5"/>
    <w:basedOn w:val="1291"/>
    <w:semiHidden/>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Col">
      <w:rPr>
        <w:b/>
        <w:bCs/>
      </w:rPr>
    </w:tblStylePr>
    <w:tblStylePr w:type="firstRow">
      <w:rPr>
        <w:b/>
        <w:bCs/>
      </w:rPr>
      <w:tcPr>
        <w:tcBorders>
          <w:bottom w:val="single" w:color="000000" w:sz="12" w:space="0"/>
        </w:tcBorders>
      </w:tcPr>
    </w:tblStylePr>
  </w:style>
  <w:style w:type="table" w:styleId="1397">
    <w:name w:val="Table List 6"/>
    <w:basedOn w:val="1291"/>
    <w:semiHidden/>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band1Horz">
      <w:tcPr>
        <w:shd w:val="pct25" w:color="000000" w:fill="ffffff"/>
      </w:tcPr>
    </w:tblStylePr>
    <w:tblStylePr w:type="firstCol">
      <w:rPr>
        <w:b/>
        <w:bCs/>
      </w:rPr>
      <w:tcPr>
        <w:tcBorders>
          <w:right w:val="single" w:color="000000" w:sz="12" w:space="0"/>
        </w:tcBorders>
      </w:tcPr>
    </w:tblStylePr>
    <w:tblStylePr w:type="firstRow">
      <w:rPr>
        <w:b/>
        <w:bCs/>
      </w:rPr>
      <w:tcPr>
        <w:tcBorders>
          <w:bottom w:val="single" w:color="000000" w:sz="12" w:space="0"/>
        </w:tcBorders>
      </w:tcPr>
    </w:tblStylePr>
  </w:style>
  <w:style w:type="table" w:styleId="1398">
    <w:name w:val="Table List 7"/>
    <w:basedOn w:val="1291"/>
    <w:semiHidden/>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band1Horz">
      <w:rPr>
        <w:color w:val="auto"/>
      </w:rPr>
      <w:tcPr>
        <w:shd w:val="pct20" w:color="000000" w:fill="ffffff"/>
      </w:tcPr>
    </w:tblStylePr>
    <w:tblStylePr w:type="band2Horz">
      <w:tcPr>
        <w:shd w:val="pct25" w:color="ffff00" w:fill="ffffff"/>
      </w:tcPr>
    </w:tblStylePr>
    <w:tblStylePr w:type="firstCol">
      <w:rPr>
        <w:b/>
        <w:bCs/>
      </w:rPr>
    </w:tblStylePr>
    <w:tblStylePr w:type="firstRow">
      <w:rPr>
        <w:b/>
        <w:bCs/>
      </w:rPr>
      <w:tcPr>
        <w:shd w:val="solid" w:color="c0c0c0" w:fill="ffffff"/>
        <w:tcBorders>
          <w:bottom w:val="single" w:color="008000" w:sz="12" w:space="0"/>
        </w:tcBorders>
      </w:tcPr>
    </w:tblStylePr>
    <w:tblStylePr w:type="lastCol">
      <w:rPr>
        <w:b/>
        <w:bCs/>
      </w:rPr>
    </w:tblStylePr>
    <w:tblStylePr w:type="lastRow">
      <w:rPr>
        <w:b/>
        <w:bCs/>
      </w:rPr>
      <w:tcPr>
        <w:tcBorders>
          <w:top w:val="single" w:color="008000" w:sz="12" w:space="0"/>
        </w:tcBorders>
      </w:tcPr>
    </w:tblStylePr>
  </w:style>
  <w:style w:type="table" w:styleId="1399">
    <w:name w:val="Table List 8"/>
    <w:basedOn w:val="1291"/>
    <w:semiHidden/>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band1Horz">
      <w:rPr>
        <w:color w:val="auto"/>
      </w:rPr>
      <w:tcPr>
        <w:shd w:val="pct25" w:color="ffff00" w:fill="ffffff"/>
      </w:tcPr>
    </w:tblStylePr>
    <w:tblStylePr w:type="band2Horz">
      <w:tcPr>
        <w:shd w:val="pct50" w:color="ff0000" w:fill="ffffff"/>
      </w:tcPr>
    </w:tblStylePr>
    <w:tblStylePr w:type="firstCol">
      <w:rPr>
        <w:b/>
        <w:bCs/>
      </w:rPr>
    </w:tblStylePr>
    <w:tblStylePr w:type="firstRow">
      <w:rPr>
        <w:b/>
        <w:bCs/>
        <w:i/>
        <w:iCs/>
      </w:rPr>
      <w:tcPr>
        <w:shd w:val="solid" w:color="ffff00" w:fill="ffffff"/>
        <w:tcBorders>
          <w:bottom w:val="single" w:color="000000" w:sz="6" w:space="0"/>
        </w:tcBorders>
      </w:tcPr>
    </w:tblStylePr>
    <w:tblStylePr w:type="lastCol">
      <w:rPr>
        <w:b/>
        <w:bCs/>
      </w:rPr>
    </w:tblStylePr>
    <w:tblStylePr w:type="lastRow">
      <w:rPr>
        <w:b/>
        <w:bCs/>
      </w:rPr>
      <w:tcPr>
        <w:tcBorders>
          <w:top w:val="single" w:color="000000" w:sz="6" w:space="0"/>
        </w:tcBorders>
      </w:tcPr>
    </w:tblStylePr>
  </w:style>
  <w:style w:type="paragraph" w:styleId="1400">
    <w:name w:val="Plain Text"/>
    <w:basedOn w:val="1280"/>
    <w:link w:val="1839"/>
    <w:rPr>
      <w:rFonts w:ascii="Courier New" w:hAnsi="Courier New" w:cs="Courier New"/>
      <w:sz w:val="20"/>
    </w:rPr>
  </w:style>
  <w:style w:type="table" w:styleId="1401">
    <w:name w:val="Table Theme"/>
    <w:basedOn w:val="1291"/>
    <w:semiHidden/>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402">
    <w:name w:val="Table Colorful 1"/>
    <w:basedOn w:val="1291"/>
    <w:semiHidden/>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Col">
      <w:rPr>
        <w:b/>
        <w:bCs/>
        <w:i/>
        <w:iCs/>
      </w:rPr>
      <w:tcPr>
        <w:shd w:val="solid" w:color="000080" w:fill="ffffff"/>
      </w:tcPr>
    </w:tblStylePr>
    <w:tblStylePr w:type="firstRow">
      <w:rPr>
        <w:b/>
        <w:bCs/>
        <w:i/>
        <w:iCs/>
      </w:rPr>
      <w:tcPr>
        <w:shd w:val="solid" w:color="000000" w:fill="ffffff"/>
      </w:tcPr>
    </w:tblStylePr>
    <w:tblStylePr w:type="nwCell">
      <w:tcPr>
        <w:shd w:val="solid" w:color="000000" w:fill="ffffff"/>
      </w:tcPr>
    </w:tblStylePr>
    <w:tblStylePr w:type="swCell">
      <w:rPr>
        <w:b/>
        <w:bCs/>
        <w:i w:val="0"/>
        <w:iCs w:val="0"/>
      </w:rPr>
    </w:tblStylePr>
  </w:style>
  <w:style w:type="table" w:styleId="1403">
    <w:name w:val="Table Colorful 2"/>
    <w:basedOn w:val="1291"/>
    <w:semiHidden/>
    <w:tblPr>
      <w:tblBorders>
        <w:bottom w:val="single" w:color="000000" w:sz="12" w:space="0"/>
      </w:tblBorders>
    </w:tblPr>
    <w:tcPr>
      <w:shd w:val="pct20" w:color="ffff00" w:fill="ffffff"/>
    </w:tcPr>
    <w:tblStylePr w:type="firstCol">
      <w:rPr>
        <w:b/>
        <w:bCs/>
        <w:i/>
        <w:iCs/>
      </w:rPr>
    </w:tblStylePr>
    <w:tblStylePr w:type="firstRow">
      <w:rPr>
        <w:b/>
        <w:bCs/>
        <w:i/>
        <w:iCs/>
        <w:color w:val="ffffff"/>
      </w:rPr>
      <w:tcPr>
        <w:shd w:val="solid" w:color="800000" w:fill="ffffff"/>
        <w:tcBorders>
          <w:bottom w:val="single" w:color="000000" w:sz="12" w:space="0"/>
        </w:tcBorders>
      </w:tcPr>
    </w:tblStylePr>
    <w:tblStylePr w:type="lastCol">
      <w:tcPr>
        <w:shd w:val="solid" w:color="c0c0c0" w:fill="ffffff"/>
      </w:tcPr>
    </w:tblStylePr>
    <w:tblStylePr w:type="swCell">
      <w:rPr>
        <w:b/>
        <w:bCs/>
        <w:i w:val="0"/>
        <w:iCs w:val="0"/>
      </w:rPr>
    </w:tblStylePr>
  </w:style>
  <w:style w:type="table" w:styleId="1404">
    <w:name w:val="Table Colorful 3"/>
    <w:basedOn w:val="1291"/>
    <w:semiHidden/>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Col">
      <w:tcPr>
        <w:shd w:val="solid" w:color="008080" w:fill="ffffff"/>
        <w:tcBorders>
          <w:left w:val="single" w:color="000000" w:sz="36" w:space="0"/>
          <w:right w:val="single" w:color="000000" w:sz="6" w:space="0"/>
        </w:tcBorders>
      </w:tcPr>
    </w:tblStylePr>
    <w:tblStylePr w:type="firstRow">
      <w:tcPr>
        <w:shd w:val="solid" w:color="008080" w:fill="ffffff"/>
        <w:tcBorders>
          <w:bottom w:val="single" w:color="000000" w:sz="6" w:space="0"/>
        </w:tcBorders>
      </w:tcPr>
    </w:tblStylePr>
    <w:tblStylePr w:type="nwCell">
      <w:rPr>
        <w:b/>
        <w:bCs/>
        <w:color w:val="ffffff"/>
      </w:rPr>
      <w:tcPr>
        <w:shd w:val="solid" w:color="000000" w:fill="ffffff"/>
      </w:tcPr>
    </w:tblStylePr>
  </w:style>
  <w:style w:type="paragraph" w:styleId="1405">
    <w:name w:val="Block Text"/>
    <w:basedOn w:val="1280"/>
    <w:semiHidden/>
    <w:pPr>
      <w:ind w:left="1440" w:right="1440"/>
      <w:spacing w:after="120"/>
    </w:pPr>
  </w:style>
  <w:style w:type="character" w:styleId="1406">
    <w:name w:val="HTML Cite"/>
    <w:semiHidden/>
    <w:rPr>
      <w:i/>
      <w:iCs/>
    </w:rPr>
  </w:style>
  <w:style w:type="paragraph" w:styleId="1407">
    <w:name w:val="Message Header"/>
    <w:basedOn w:val="1280"/>
    <w:link w:val="1748"/>
    <w:pPr>
      <w:ind w:left="1134" w:hanging="1134"/>
      <w:shd w:val="pct20" w:color="auto" w:fill="auto"/>
      <w:pBdr>
        <w:top w:val="single" w:color="000000" w:sz="6" w:space="1"/>
        <w:left w:val="single" w:color="000000" w:sz="6" w:space="1"/>
        <w:bottom w:val="single" w:color="000000" w:sz="6" w:space="1"/>
        <w:right w:val="single" w:color="000000" w:sz="6" w:space="1"/>
      </w:pBdr>
    </w:pPr>
    <w:rPr>
      <w:rFonts w:ascii="Arial" w:hAnsi="Arial" w:cs="Arial"/>
    </w:rPr>
  </w:style>
  <w:style w:type="paragraph" w:styleId="1408">
    <w:name w:val="E-mail Signature"/>
    <w:basedOn w:val="1280"/>
    <w:link w:val="2285"/>
    <w:semiHidden/>
  </w:style>
  <w:style w:type="paragraph" w:styleId="1409">
    <w:name w:val="Signature"/>
    <w:basedOn w:val="1280"/>
    <w:link w:val="2286"/>
    <w:semiHidden/>
    <w:pPr>
      <w:ind w:left="4252"/>
    </w:pPr>
  </w:style>
  <w:style w:type="paragraph" w:styleId="1410">
    <w:name w:val="index 1"/>
    <w:basedOn w:val="1280"/>
    <w:next w:val="1280"/>
    <w:semiHidden/>
    <w:pPr>
      <w:ind w:left="720" w:hanging="360"/>
      <w:spacing w:line="360" w:lineRule="auto"/>
      <w:widowControl w:val="off"/>
      <w:tabs>
        <w:tab w:val="num" w:pos="720" w:leader="none"/>
        <w:tab w:val="left" w:pos="1985" w:leader="none"/>
        <w:tab w:val="left" w:pos="2127" w:leader="none"/>
      </w:tabs>
    </w:pPr>
  </w:style>
  <w:style w:type="paragraph" w:styleId="1411">
    <w:name w:val="index heading"/>
    <w:basedOn w:val="1280"/>
    <w:next w:val="1410"/>
    <w:semiHidden/>
    <w:pPr>
      <w:ind w:firstLine="425"/>
      <w:spacing w:line="360" w:lineRule="auto"/>
      <w:widowControl w:val="off"/>
      <w:tabs>
        <w:tab w:val="left" w:pos="1985" w:leader="none"/>
        <w:tab w:val="left" w:pos="2127" w:leader="none"/>
      </w:tabs>
    </w:pPr>
    <w:rPr>
      <w:sz w:val="20"/>
    </w:rPr>
  </w:style>
  <w:style w:type="paragraph" w:styleId="1412">
    <w:name w:val="index 2"/>
    <w:basedOn w:val="1280"/>
    <w:next w:val="1280"/>
    <w:semiHidden/>
    <w:pPr>
      <w:ind w:left="400" w:hanging="200"/>
      <w:spacing w:line="360" w:lineRule="auto"/>
      <w:widowControl w:val="off"/>
      <w:tabs>
        <w:tab w:val="left" w:pos="1985" w:leader="none"/>
        <w:tab w:val="left" w:pos="2127" w:leader="none"/>
      </w:tabs>
    </w:pPr>
    <w:rPr>
      <w:sz w:val="20"/>
    </w:rPr>
  </w:style>
  <w:style w:type="paragraph" w:styleId="1413">
    <w:name w:val="index 3"/>
    <w:basedOn w:val="1280"/>
    <w:next w:val="1280"/>
    <w:semiHidden/>
    <w:pPr>
      <w:ind w:left="600" w:hanging="200"/>
      <w:spacing w:line="360" w:lineRule="auto"/>
      <w:widowControl w:val="off"/>
      <w:tabs>
        <w:tab w:val="left" w:pos="1985" w:leader="none"/>
        <w:tab w:val="left" w:pos="2127" w:leader="none"/>
      </w:tabs>
    </w:pPr>
    <w:rPr>
      <w:sz w:val="20"/>
    </w:rPr>
  </w:style>
  <w:style w:type="paragraph" w:styleId="1414">
    <w:name w:val="index 4"/>
    <w:basedOn w:val="1280"/>
    <w:next w:val="1280"/>
    <w:semiHidden/>
    <w:pPr>
      <w:ind w:left="800" w:hanging="200"/>
      <w:spacing w:line="360" w:lineRule="auto"/>
      <w:widowControl w:val="off"/>
      <w:tabs>
        <w:tab w:val="left" w:pos="1985" w:leader="none"/>
        <w:tab w:val="left" w:pos="2127" w:leader="none"/>
      </w:tabs>
    </w:pPr>
    <w:rPr>
      <w:sz w:val="20"/>
    </w:rPr>
  </w:style>
  <w:style w:type="paragraph" w:styleId="1415">
    <w:name w:val="index 5"/>
    <w:basedOn w:val="1280"/>
    <w:next w:val="1280"/>
    <w:semiHidden/>
    <w:pPr>
      <w:ind w:left="1000" w:hanging="200"/>
      <w:spacing w:line="360" w:lineRule="auto"/>
      <w:widowControl w:val="off"/>
      <w:tabs>
        <w:tab w:val="left" w:pos="1985" w:leader="none"/>
        <w:tab w:val="left" w:pos="2127" w:leader="none"/>
      </w:tabs>
    </w:pPr>
    <w:rPr>
      <w:sz w:val="20"/>
    </w:rPr>
  </w:style>
  <w:style w:type="paragraph" w:styleId="1416">
    <w:name w:val="index 6"/>
    <w:basedOn w:val="1280"/>
    <w:next w:val="1280"/>
    <w:semiHidden/>
    <w:pPr>
      <w:ind w:left="1200" w:hanging="200"/>
      <w:spacing w:line="360" w:lineRule="auto"/>
      <w:widowControl w:val="off"/>
      <w:tabs>
        <w:tab w:val="left" w:pos="1985" w:leader="none"/>
        <w:tab w:val="left" w:pos="2127" w:leader="none"/>
      </w:tabs>
    </w:pPr>
    <w:rPr>
      <w:sz w:val="20"/>
    </w:rPr>
  </w:style>
  <w:style w:type="paragraph" w:styleId="1417">
    <w:name w:val="index 7"/>
    <w:basedOn w:val="1280"/>
    <w:next w:val="1280"/>
    <w:semiHidden/>
    <w:pPr>
      <w:ind w:left="1400" w:hanging="200"/>
      <w:spacing w:line="360" w:lineRule="auto"/>
      <w:widowControl w:val="off"/>
      <w:tabs>
        <w:tab w:val="left" w:pos="1985" w:leader="none"/>
        <w:tab w:val="left" w:pos="2127" w:leader="none"/>
      </w:tabs>
    </w:pPr>
    <w:rPr>
      <w:sz w:val="20"/>
    </w:rPr>
  </w:style>
  <w:style w:type="paragraph" w:styleId="1418">
    <w:name w:val="index 8"/>
    <w:basedOn w:val="1280"/>
    <w:next w:val="1280"/>
    <w:semiHidden/>
    <w:pPr>
      <w:ind w:left="1600" w:hanging="200"/>
      <w:spacing w:line="360" w:lineRule="auto"/>
      <w:widowControl w:val="off"/>
      <w:tabs>
        <w:tab w:val="left" w:pos="1985" w:leader="none"/>
        <w:tab w:val="left" w:pos="2127" w:leader="none"/>
      </w:tabs>
    </w:pPr>
    <w:rPr>
      <w:sz w:val="20"/>
    </w:rPr>
  </w:style>
  <w:style w:type="paragraph" w:styleId="1419">
    <w:name w:val="index 9"/>
    <w:basedOn w:val="1280"/>
    <w:next w:val="1280"/>
    <w:semiHidden/>
    <w:pPr>
      <w:ind w:left="1800" w:hanging="200"/>
      <w:spacing w:line="360" w:lineRule="auto"/>
      <w:widowControl w:val="off"/>
      <w:tabs>
        <w:tab w:val="left" w:pos="1985" w:leader="none"/>
        <w:tab w:val="left" w:pos="2127" w:leader="none"/>
      </w:tabs>
    </w:pPr>
    <w:rPr>
      <w:sz w:val="20"/>
    </w:rPr>
  </w:style>
  <w:style w:type="paragraph" w:styleId="1420">
    <w:name w:val="List Bullet"/>
    <w:basedOn w:val="1280"/>
    <w:pPr>
      <w:numPr>
        <w:ilvl w:val="0"/>
        <w:numId w:val="3"/>
      </w:numPr>
      <w:ind w:left="0" w:firstLine="0"/>
    </w:pPr>
  </w:style>
  <w:style w:type="paragraph" w:styleId="1421">
    <w:name w:val="List Number"/>
    <w:basedOn w:val="1280"/>
    <w:pPr>
      <w:numPr>
        <w:ilvl w:val="0"/>
        <w:numId w:val="4"/>
      </w:numPr>
      <w:ind w:left="0" w:firstLine="0"/>
    </w:pPr>
  </w:style>
  <w:style w:type="paragraph" w:styleId="1422">
    <w:name w:val="HTML Address"/>
    <w:basedOn w:val="1280"/>
    <w:link w:val="1942"/>
    <w:semiHidden/>
    <w:rPr>
      <w:i/>
      <w:iCs/>
    </w:rPr>
  </w:style>
  <w:style w:type="paragraph" w:styleId="1423">
    <w:name w:val="envelope address"/>
    <w:basedOn w:val="1280"/>
    <w:semiHidden/>
    <w:pPr>
      <w:ind w:left="2880"/>
      <w:framePr w:w="7920" w:h="1980" w:hSpace="180" w:wrap="auto" w:hAnchor="page" w:xAlign="center" w:yAlign="bottom" w:hRule="exact"/>
    </w:pPr>
    <w:rPr>
      <w:rFonts w:ascii="Arial" w:hAnsi="Arial" w:cs="Arial"/>
    </w:rPr>
  </w:style>
  <w:style w:type="character" w:styleId="1424">
    <w:name w:val="HTML Acronym"/>
    <w:basedOn w:val="1290"/>
  </w:style>
  <w:style w:type="table" w:styleId="1425">
    <w:name w:val="Table Web 1"/>
    <w:basedOn w:val="1291"/>
    <w:semiHidden/>
    <w:tblPr>
      <w:tblCellSpacing w:w="2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rPr>
      <w:tblCellSpacing w:w="20" w:type="dxa"/>
    </w:trPr>
    <w:tcPr>
      <w:shd w:val="clear" w:color="auto" w:fill="auto"/>
    </w:tcPr>
    <w:tblStylePr w:type="firstRow">
      <w:rPr>
        <w:color w:val="auto"/>
      </w:rPr>
    </w:tblStylePr>
  </w:style>
  <w:style w:type="table" w:styleId="1426">
    <w:name w:val="Table Web 2"/>
    <w:basedOn w:val="1291"/>
    <w:semiHidden/>
    <w:tblPr>
      <w:tblCellSpacing w:w="2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rPr>
      <w:tblCellSpacing w:w="20" w:type="dxa"/>
    </w:trPr>
    <w:tcPr>
      <w:shd w:val="clear" w:color="auto" w:fill="auto"/>
    </w:tcPr>
    <w:tblStylePr w:type="firstRow">
      <w:rPr>
        <w:color w:val="auto"/>
      </w:rPr>
    </w:tblStylePr>
  </w:style>
  <w:style w:type="table" w:styleId="1427">
    <w:name w:val="Table Web 3"/>
    <w:basedOn w:val="1291"/>
    <w:semiHidden/>
    <w:tblPr>
      <w:tblCellSpacing w:w="20" w:type="dxa"/>
      <w:tblBorders>
        <w:top w:val="single" w:color="000000" w:sz="24" w:space="0"/>
        <w:left w:val="single" w:color="000000" w:sz="24" w:space="0"/>
        <w:bottom w:val="single" w:color="000000" w:sz="24" w:space="0"/>
        <w:right w:val="single" w:color="000000" w:sz="24" w:space="0"/>
        <w:insideH w:val="single" w:color="000000" w:sz="6" w:space="0"/>
        <w:insideV w:val="single" w:color="000000" w:sz="6" w:space="0"/>
      </w:tblBorders>
    </w:tblPr>
    <w:trPr>
      <w:tblCellSpacing w:w="20" w:type="dxa"/>
    </w:trPr>
    <w:tcPr>
      <w:shd w:val="clear" w:color="auto" w:fill="auto"/>
    </w:tcPr>
    <w:tblStylePr w:type="firstRow">
      <w:rPr>
        <w:color w:val="auto"/>
      </w:rPr>
    </w:tblStylePr>
  </w:style>
  <w:style w:type="character" w:styleId="1428">
    <w:name w:val="Emphasis"/>
    <w:qFormat/>
    <w:rPr>
      <w:i/>
      <w:iCs/>
    </w:rPr>
  </w:style>
  <w:style w:type="paragraph" w:styleId="1429">
    <w:name w:val="Date"/>
    <w:basedOn w:val="1280"/>
    <w:next w:val="1280"/>
    <w:link w:val="2287"/>
    <w:semiHidden/>
  </w:style>
  <w:style w:type="paragraph" w:styleId="1430">
    <w:name w:val="Note Heading"/>
    <w:basedOn w:val="1280"/>
    <w:next w:val="1280"/>
    <w:link w:val="2288"/>
    <w:semiHidden/>
  </w:style>
  <w:style w:type="character" w:styleId="1431">
    <w:name w:val="annotation reference"/>
    <w:rPr>
      <w:sz w:val="16"/>
      <w:szCs w:val="16"/>
    </w:rPr>
  </w:style>
  <w:style w:type="table" w:styleId="1432">
    <w:name w:val="Table Elegant"/>
    <w:basedOn w:val="1291"/>
    <w:semiHidden/>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caps/>
        <w:color w:val="auto"/>
      </w:rPr>
    </w:tblStylePr>
  </w:style>
  <w:style w:type="table" w:styleId="1433">
    <w:name w:val="Table Subtle 1"/>
    <w:basedOn w:val="1291"/>
    <w:semiHidden/>
    <w:tblPr>
      <w:tblStyleRowBandSize w:val="1"/>
    </w:tblPr>
    <w:tblStylePr w:type="band1Horz">
      <w:tcPr>
        <w:shd w:val="pct25" w:color="808000" w:fill="ffffff"/>
        <w:tcBorders>
          <w:bottom w:val="single" w:color="000000" w:sz="6" w:space="0"/>
        </w:tcBorders>
      </w:tcPr>
    </w:tblStylePr>
    <w:tblStylePr w:type="firstCol">
      <w:tcPr>
        <w:tcBorders>
          <w:right w:val="single" w:color="000000" w:sz="12" w:space="0"/>
        </w:tcBorders>
      </w:tcPr>
    </w:tblStylePr>
    <w:tblStylePr w:type="firstRow">
      <w:tcPr>
        <w:tcBorders>
          <w:top w:val="single" w:color="000000" w:sz="6" w:space="0"/>
          <w:bottom w:val="single" w:color="000000" w:sz="12" w:space="0"/>
        </w:tcBorders>
      </w:tcPr>
    </w:tblStylePr>
    <w:tblStylePr w:type="lastCol">
      <w:tcPr>
        <w:tcBorders>
          <w:left w:val="single" w:color="000000" w:sz="12" w:space="0"/>
        </w:tcBorders>
      </w:tcPr>
    </w:tblStylePr>
    <w:tblStylePr w:type="lastRow">
      <w:tcPr>
        <w:shd w:val="pct25" w:color="800080" w:fill="ffffff"/>
        <w:tcBorders>
          <w:top w:val="single" w:color="000000" w:sz="12" w:space="0"/>
        </w:tcBorders>
      </w:tcPr>
    </w:tblStylePr>
    <w:tblStylePr w:type="neCell">
      <w:rPr>
        <w:b/>
        <w:bCs/>
      </w:rPr>
    </w:tblStylePr>
    <w:tblStylePr w:type="swCell">
      <w:rPr>
        <w:b/>
        <w:bCs/>
      </w:rPr>
    </w:tblStylePr>
  </w:style>
  <w:style w:type="table" w:styleId="1434">
    <w:name w:val="Table Subtle 2"/>
    <w:basedOn w:val="1291"/>
    <w:semiHidden/>
    <w:tblPr>
      <w:tblBorders>
        <w:left w:val="single" w:color="000000" w:sz="6" w:space="0"/>
        <w:right w:val="single" w:color="000000" w:sz="6" w:space="0"/>
      </w:tblBorders>
    </w:tblPr>
    <w:tblStylePr w:type="firstCol">
      <w:tcPr>
        <w:shd w:val="pct25" w:color="008000" w:fill="ffffff"/>
        <w:tcBorders>
          <w:right w:val="single" w:color="000000" w:sz="12" w:space="0"/>
        </w:tcBorders>
      </w:tcPr>
    </w:tblStylePr>
    <w:tblStylePr w:type="firstRow">
      <w:tcPr>
        <w:tcBorders>
          <w:bottom w:val="single" w:color="000000" w:sz="12" w:space="0"/>
        </w:tcBorders>
      </w:tcPr>
    </w:tblStylePr>
    <w:tblStylePr w:type="lastCol">
      <w:tcPr>
        <w:shd w:val="pct25" w:color="808000" w:fill="ffffff"/>
        <w:tcBorders>
          <w:left w:val="single" w:color="000000" w:sz="12" w:space="0"/>
        </w:tcBorders>
      </w:tcPr>
    </w:tblStylePr>
    <w:tblStylePr w:type="lastRow">
      <w:tcPr>
        <w:tcBorders>
          <w:top w:val="single" w:color="000000" w:sz="12" w:space="0"/>
        </w:tcBorders>
      </w:tcPr>
    </w:tblStylePr>
    <w:tblStylePr w:type="neCell">
      <w:rPr>
        <w:b/>
        <w:bCs/>
      </w:rPr>
    </w:tblStylePr>
    <w:tblStylePr w:type="swCell">
      <w:rPr>
        <w:b/>
        <w:bCs/>
      </w:rPr>
    </w:tblStylePr>
  </w:style>
  <w:style w:type="character" w:styleId="1435">
    <w:name w:val="HTML Keyboard"/>
    <w:semiHidden/>
    <w:rPr>
      <w:rFonts w:ascii="Courier New" w:hAnsi="Courier New" w:cs="Courier New"/>
      <w:sz w:val="20"/>
      <w:szCs w:val="20"/>
    </w:rPr>
  </w:style>
  <w:style w:type="table" w:styleId="1436">
    <w:name w:val="Table Classic 1"/>
    <w:basedOn w:val="1291"/>
    <w:semiHidden/>
    <w:tblPr>
      <w:tblBorders>
        <w:top w:val="single" w:color="000000" w:sz="12" w:space="0"/>
        <w:bottom w:val="single" w:color="000000" w:sz="12" w:space="0"/>
      </w:tblBorders>
    </w:tblPr>
    <w:tcPr>
      <w:shd w:val="clear" w:color="auto" w:fill="auto"/>
    </w:tcPr>
    <w:tblStylePr w:type="firstCol">
      <w:tcPr>
        <w:tcBorders>
          <w:right w:val="single" w:color="000000" w:sz="6" w:space="0"/>
        </w:tcBorders>
      </w:tcPr>
    </w:tblStylePr>
    <w:tblStylePr w:type="firstRow">
      <w:rPr>
        <w:i/>
        <w:iCs/>
      </w:rPr>
      <w:tcPr>
        <w:tcBorders>
          <w:bottom w:val="single" w:color="000000" w:sz="6" w:space="0"/>
        </w:tcBorders>
      </w:tcPr>
    </w:tblStylePr>
    <w:tblStylePr w:type="lastRow">
      <w:rPr>
        <w:color w:val="auto"/>
      </w:rPr>
      <w:tcPr>
        <w:tcBorders>
          <w:top w:val="single" w:color="000000" w:sz="6" w:space="0"/>
        </w:tcBorders>
      </w:tcPr>
    </w:tblStylePr>
    <w:tblStylePr w:type="neCell">
      <w:rPr>
        <w:b/>
        <w:bCs/>
        <w:i w:val="0"/>
        <w:iCs w:val="0"/>
      </w:rPr>
    </w:tblStylePr>
    <w:tblStylePr w:type="swCell">
      <w:rPr>
        <w:b/>
        <w:bCs/>
      </w:rPr>
    </w:tblStylePr>
  </w:style>
  <w:style w:type="table" w:styleId="1437">
    <w:name w:val="Table Classic 2"/>
    <w:basedOn w:val="1291"/>
    <w:semiHidden/>
    <w:tblPr>
      <w:tblBorders>
        <w:top w:val="single" w:color="000000" w:sz="12" w:space="0"/>
        <w:bottom w:val="single" w:color="000000" w:sz="12" w:space="0"/>
      </w:tblBorders>
    </w:tblPr>
    <w:tcPr>
      <w:shd w:val="clear" w:color="auto" w:fill="auto"/>
    </w:tcPr>
    <w:tblStylePr w:type="firstCol">
      <w:rPr>
        <w:b/>
        <w:bCs/>
      </w:rPr>
      <w:tcPr>
        <w:shd w:val="solid" w:color="c0c0c0" w:fill="ffffff"/>
      </w:tcPr>
    </w:tblStylePr>
    <w:tblStylePr w:type="firstRow">
      <w:rPr>
        <w:color w:val="ffffff"/>
      </w:rPr>
      <w:tcPr>
        <w:shd w:val="solid" w:color="800080" w:fill="ffffff"/>
        <w:tcBorders>
          <w:bottom w:val="single" w:color="000000" w:sz="6" w:space="0"/>
        </w:tcBorders>
      </w:tcPr>
    </w:tblStylePr>
    <w:tblStylePr w:type="lastRow">
      <w:tcPr>
        <w:tcBorders>
          <w:top w:val="single" w:color="000000" w:sz="6" w:space="0"/>
        </w:tcBorders>
      </w:tcPr>
    </w:tblStylePr>
    <w:tblStylePr w:type="nwCell">
      <w:tcPr>
        <w:shd w:val="solid" w:color="800080" w:fill="ffffff"/>
      </w:tcPr>
    </w:tblStylePr>
    <w:tblStylePr w:type="neCell">
      <w:rPr>
        <w:b/>
        <w:bCs/>
      </w:rPr>
    </w:tblStylePr>
    <w:tblStylePr w:type="swCell">
      <w:rPr>
        <w:color w:val="000080"/>
      </w:rPr>
    </w:tblStylePr>
  </w:style>
  <w:style w:type="table" w:styleId="1438">
    <w:name w:val="Table Classic 3"/>
    <w:basedOn w:val="1291"/>
    <w:semiHidden/>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Col">
      <w:rPr>
        <w:b/>
        <w:bCs/>
        <w:color w:val="000000"/>
      </w:rPr>
    </w:tblStylePr>
    <w:tblStylePr w:type="firstRow">
      <w:rPr>
        <w:b/>
        <w:bCs/>
        <w:i/>
        <w:iCs/>
        <w:color w:val="ffffff"/>
      </w:rPr>
      <w:tcPr>
        <w:shd w:val="solid" w:color="000080" w:fill="ffffff"/>
        <w:tcBorders>
          <w:bottom w:val="single" w:color="000000" w:sz="6" w:space="0"/>
        </w:tcBorders>
      </w:tcPr>
    </w:tblStylePr>
    <w:tblStylePr w:type="lastRow">
      <w:rPr>
        <w:color w:val="000080"/>
      </w:rPr>
      <w:tcPr>
        <w:shd w:val="solid" w:color="ffffff" w:fill="ffffff"/>
        <w:tcBorders>
          <w:top w:val="single" w:color="000000" w:sz="12" w:space="0"/>
        </w:tcBorders>
      </w:tcPr>
    </w:tblStylePr>
  </w:style>
  <w:style w:type="table" w:styleId="1439">
    <w:name w:val="Table Classic 4"/>
    <w:basedOn w:val="1291"/>
    <w:semiHidden/>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Col">
      <w:rPr>
        <w:b/>
        <w:bCs/>
      </w:rPr>
    </w:tblStylePr>
    <w:tblStylePr w:type="firstRow">
      <w:rPr>
        <w:b/>
        <w:bCs/>
        <w:i/>
        <w:iCs/>
        <w:color w:val="ffffff"/>
      </w:rPr>
      <w:tcPr>
        <w:shd w:val="pct50" w:color="000080" w:fill="ffffff"/>
        <w:tcBorders>
          <w:bottom w:val="single" w:color="000000" w:sz="6" w:space="0"/>
        </w:tcBorders>
      </w:tcPr>
    </w:tblStylePr>
    <w:tblStylePr w:type="lastRow">
      <w:rPr>
        <w:color w:val="000080"/>
      </w:rPr>
      <w:tcPr>
        <w:shd w:val="pct50" w:color="000000" w:fill="ffffff"/>
        <w:tcBorders>
          <w:bottom w:val="single" w:color="000000" w:sz="6" w:space="0"/>
        </w:tcBorders>
      </w:tcPr>
    </w:tblStylePr>
    <w:tblStylePr w:type="nwCell">
      <w:rPr>
        <w:b/>
        <w:bCs/>
      </w:rPr>
    </w:tblStylePr>
    <w:tblStylePr w:type="swCell">
      <w:rPr>
        <w:color w:val="000080"/>
      </w:rPr>
    </w:tblStylePr>
  </w:style>
  <w:style w:type="character" w:styleId="1440">
    <w:name w:val="HTML Code"/>
    <w:semiHidden/>
    <w:rPr>
      <w:rFonts w:ascii="Courier New" w:hAnsi="Courier New" w:cs="Courier New"/>
      <w:sz w:val="20"/>
      <w:szCs w:val="20"/>
    </w:rPr>
  </w:style>
  <w:style w:type="paragraph" w:styleId="1441">
    <w:name w:val="Body Text"/>
    <w:basedOn w:val="1280"/>
    <w:link w:val="1554"/>
    <w:pPr>
      <w:spacing w:after="240"/>
    </w:pPr>
  </w:style>
  <w:style w:type="paragraph" w:styleId="1442">
    <w:name w:val="Body Text First Indent"/>
    <w:basedOn w:val="1441"/>
    <w:link w:val="2289"/>
    <w:semiHidden/>
    <w:pPr>
      <w:ind w:firstLine="210"/>
      <w:jc w:val="left"/>
      <w:spacing w:after="120"/>
    </w:pPr>
  </w:style>
  <w:style w:type="paragraph" w:styleId="1443">
    <w:name w:val="Body Text First Indent 2"/>
    <w:basedOn w:val="1335"/>
    <w:link w:val="2290"/>
    <w:semiHidden/>
    <w:pPr>
      <w:ind w:left="283" w:firstLine="210"/>
      <w:jc w:val="left"/>
      <w:spacing w:after="120" w:line="240" w:lineRule="auto"/>
      <w:widowControl/>
      <w:tabs>
        <w:tab w:val="clear" w:pos="1985" w:leader="none"/>
        <w:tab w:val="clear" w:pos="2127" w:leader="none"/>
      </w:tabs>
    </w:pPr>
    <w:rPr>
      <w:sz w:val="24"/>
      <w:szCs w:val="24"/>
    </w:rPr>
  </w:style>
  <w:style w:type="paragraph" w:styleId="1444">
    <w:name w:val="List Bullet 2"/>
    <w:basedOn w:val="1280"/>
    <w:link w:val="2014"/>
    <w:pPr>
      <w:numPr>
        <w:ilvl w:val="0"/>
        <w:numId w:val="13"/>
      </w:numPr>
      <w:ind w:left="0" w:firstLine="0"/>
      <w:tabs>
        <w:tab w:val="num" w:pos="360" w:leader="none"/>
        <w:tab w:val="clear" w:pos="643" w:leader="none"/>
      </w:tabs>
    </w:pPr>
  </w:style>
  <w:style w:type="paragraph" w:styleId="1445">
    <w:name w:val="List Bullet 3"/>
    <w:basedOn w:val="1280"/>
    <w:pPr>
      <w:numPr>
        <w:ilvl w:val="0"/>
        <w:numId w:val="5"/>
      </w:numPr>
      <w:ind w:left="0" w:firstLine="0"/>
      <w:spacing w:line="360" w:lineRule="auto"/>
      <w:widowControl w:val="off"/>
      <w:tabs>
        <w:tab w:val="num" w:pos="360" w:leader="none"/>
        <w:tab w:val="clear" w:pos="926" w:leader="none"/>
        <w:tab w:val="left" w:pos="1985" w:leader="none"/>
        <w:tab w:val="left" w:pos="2127" w:leader="none"/>
      </w:tabs>
    </w:pPr>
  </w:style>
  <w:style w:type="paragraph" w:styleId="1446">
    <w:name w:val="List Bullet 4"/>
    <w:basedOn w:val="1280"/>
    <w:pPr>
      <w:numPr>
        <w:ilvl w:val="0"/>
        <w:numId w:val="6"/>
      </w:numPr>
      <w:ind w:left="0" w:firstLine="0"/>
      <w:tabs>
        <w:tab w:val="num" w:pos="360" w:leader="none"/>
        <w:tab w:val="clear" w:pos="1209" w:leader="none"/>
      </w:tabs>
    </w:pPr>
  </w:style>
  <w:style w:type="paragraph" w:styleId="1447">
    <w:name w:val="List Bullet 5"/>
    <w:basedOn w:val="1280"/>
    <w:pPr>
      <w:numPr>
        <w:ilvl w:val="0"/>
        <w:numId w:val="7"/>
      </w:numPr>
      <w:ind w:left="0" w:firstLine="0"/>
      <w:tabs>
        <w:tab w:val="num" w:pos="360" w:leader="none"/>
        <w:tab w:val="clear" w:pos="1492" w:leader="none"/>
      </w:tabs>
    </w:pPr>
  </w:style>
  <w:style w:type="paragraph" w:styleId="1448">
    <w:name w:val="Title"/>
    <w:basedOn w:val="1280"/>
    <w:link w:val="2291"/>
    <w:qFormat/>
    <w:pPr>
      <w:jc w:val="center"/>
      <w:spacing w:before="240" w:after="60"/>
      <w:outlineLvl w:val="0"/>
    </w:pPr>
    <w:rPr>
      <w:rFonts w:ascii="Arial" w:hAnsi="Arial" w:cs="Arial"/>
      <w:b/>
      <w:bCs/>
      <w:sz w:val="32"/>
      <w:szCs w:val="32"/>
    </w:rPr>
  </w:style>
  <w:style w:type="character" w:styleId="1449">
    <w:name w:val="page number"/>
    <w:basedOn w:val="1290"/>
  </w:style>
  <w:style w:type="character" w:styleId="1450">
    <w:name w:val="line number"/>
    <w:basedOn w:val="1290"/>
    <w:semiHidden/>
  </w:style>
  <w:style w:type="paragraph" w:styleId="1451">
    <w:name w:val="List Number 2"/>
    <w:basedOn w:val="1280"/>
    <w:pPr>
      <w:numPr>
        <w:ilvl w:val="0"/>
        <w:numId w:val="8"/>
      </w:numPr>
      <w:ind w:left="0" w:firstLine="0"/>
      <w:tabs>
        <w:tab w:val="num" w:pos="360" w:leader="none"/>
        <w:tab w:val="clear" w:pos="643" w:leader="none"/>
      </w:tabs>
    </w:pPr>
  </w:style>
  <w:style w:type="paragraph" w:styleId="1452">
    <w:name w:val="List Number 3"/>
    <w:basedOn w:val="1280"/>
    <w:pPr>
      <w:numPr>
        <w:ilvl w:val="0"/>
        <w:numId w:val="9"/>
      </w:numPr>
      <w:ind w:left="0" w:firstLine="0"/>
      <w:tabs>
        <w:tab w:val="num" w:pos="360" w:leader="none"/>
        <w:tab w:val="clear" w:pos="926" w:leader="none"/>
      </w:tabs>
    </w:pPr>
  </w:style>
  <w:style w:type="paragraph" w:styleId="1453">
    <w:name w:val="List Number 4"/>
    <w:basedOn w:val="1280"/>
    <w:pPr>
      <w:numPr>
        <w:ilvl w:val="0"/>
        <w:numId w:val="10"/>
      </w:numPr>
      <w:ind w:left="0" w:firstLine="0"/>
      <w:tabs>
        <w:tab w:val="num" w:pos="360" w:leader="none"/>
        <w:tab w:val="clear" w:pos="1209" w:leader="none"/>
      </w:tabs>
    </w:pPr>
  </w:style>
  <w:style w:type="paragraph" w:styleId="1454">
    <w:name w:val="List Number 5"/>
    <w:basedOn w:val="1280"/>
    <w:pPr>
      <w:numPr>
        <w:ilvl w:val="0"/>
        <w:numId w:val="11"/>
      </w:numPr>
      <w:ind w:left="0" w:firstLine="0"/>
      <w:tabs>
        <w:tab w:val="num" w:pos="360" w:leader="none"/>
        <w:tab w:val="clear" w:pos="1492" w:leader="none"/>
      </w:tabs>
    </w:pPr>
  </w:style>
  <w:style w:type="character" w:styleId="1455">
    <w:name w:val="HTML Sample"/>
    <w:semiHidden/>
    <w:rPr>
      <w:rFonts w:ascii="Courier New" w:hAnsi="Courier New" w:cs="Courier New"/>
    </w:rPr>
  </w:style>
  <w:style w:type="paragraph" w:styleId="1456">
    <w:name w:val="envelope return"/>
    <w:basedOn w:val="1280"/>
    <w:semiHidden/>
    <w:rPr>
      <w:rFonts w:ascii="Arial" w:hAnsi="Arial" w:cs="Arial"/>
      <w:sz w:val="20"/>
    </w:rPr>
  </w:style>
  <w:style w:type="table" w:styleId="1457">
    <w:name w:val="Table 3D effects 1"/>
    <w:basedOn w:val="1291"/>
    <w:semiHidden/>
    <w:tblPr/>
    <w:tcPr>
      <w:shd w:val="solid" w:color="c0c0c0" w:fill="ffffff"/>
    </w:tcPr>
    <w:tblStylePr w:type="firstCol">
      <w:rPr>
        <w:b/>
        <w:bCs/>
      </w:rPr>
      <w:tcPr>
        <w:tcBorders>
          <w:right w:val="single" w:color="808080" w:sz="6" w:space="0"/>
        </w:tcBorders>
      </w:tcPr>
    </w:tblStylePr>
    <w:tblStylePr w:type="firstRow">
      <w:rPr>
        <w:b/>
        <w:bCs/>
        <w:color w:val="800080"/>
      </w:rPr>
      <w:tcPr>
        <w:tcBorders>
          <w:bottom w:val="single" w:color="808080" w:sz="6" w:space="0"/>
        </w:tcBorders>
      </w:tcPr>
    </w:tblStylePr>
    <w:tblStylePr w:type="lastCol">
      <w:tcPr>
        <w:tcBorders>
          <w:left w:val="single" w:color="FFFFFF" w:sz="6" w:space="0"/>
        </w:tcBorders>
      </w:tcPr>
    </w:tblStylePr>
    <w:tblStylePr w:type="lastRow">
      <w:tcPr>
        <w:tcBorders>
          <w:top w:val="single" w:color="FFFFFF" w:sz="6" w:space="0"/>
        </w:tcBorders>
      </w:tcPr>
    </w:tblStylePr>
    <w:tblStylePr w:type="nwCell">
      <w:tcPr>
        <w:tcBorders>
          <w:bottom w:val="none" w:color="000000" w:sz="0" w:space="0"/>
          <w:right w:val="none" w:color="000000" w:sz="0" w:space="0"/>
        </w:tcBorders>
      </w:tcPr>
    </w:tblStylePr>
    <w:tblStylePr w:type="neCell">
      <w:tcPr>
        <w:tcBorders>
          <w:left w:val="none" w:color="000000" w:sz="0" w:space="0"/>
          <w:bottom w:val="none" w:color="000000" w:sz="0" w:space="0"/>
        </w:tcBorders>
      </w:tcPr>
    </w:tblStylePr>
    <w:tblStylePr w:type="swCell">
      <w:rPr>
        <w:color w:val="000080"/>
      </w:rPr>
      <w:tcPr>
        <w:tcBorders>
          <w:top w:val="none" w:color="000000" w:sz="0" w:space="0"/>
          <w:right w:val="none" w:color="000000" w:sz="0" w:space="0"/>
        </w:tcBorders>
      </w:tcPr>
    </w:tblStylePr>
    <w:tblStylePr w:type="seCell">
      <w:tcPr>
        <w:tcBorders>
          <w:top w:val="none" w:color="000000" w:sz="0" w:space="0"/>
          <w:left w:val="none" w:color="000000" w:sz="0" w:space="0"/>
        </w:tcBorders>
      </w:tcPr>
    </w:tblStylePr>
  </w:style>
  <w:style w:type="table" w:styleId="1458">
    <w:name w:val="Table 3D effects 2"/>
    <w:basedOn w:val="1291"/>
    <w:semiHidden/>
    <w:tblPr>
      <w:tblStyleRowBandSize w:val="1"/>
    </w:tblPr>
    <w:tcPr>
      <w:shd w:val="solid" w:color="c0c0c0" w:fill="ffffff"/>
    </w:tcPr>
    <w:tblStylePr w:type="band1Horz">
      <w:tcPr>
        <w:tcBorders>
          <w:top w:val="single" w:color="808080" w:sz="6" w:space="0"/>
          <w:bottom w:val="single" w:color="FFFFFF" w:sz="6" w:space="0"/>
        </w:tcBorders>
      </w:tcPr>
    </w:tblStylePr>
    <w:tblStylePr w:type="firstCol">
      <w:tcPr>
        <w:tcBorders>
          <w:top w:val="none" w:color="000000" w:sz="0" w:space="0"/>
          <w:bottom w:val="none" w:color="000000" w:sz="0" w:space="0"/>
          <w:right w:val="single" w:color="808080" w:sz="6" w:space="0"/>
        </w:tcBorders>
      </w:tcPr>
    </w:tblStylePr>
    <w:tblStylePr w:type="firstRow">
      <w:rPr>
        <w:b/>
        <w:bCs/>
      </w:rPr>
    </w:tblStylePr>
    <w:tblStylePr w:type="lastCol">
      <w:tcPr>
        <w:tcBorders>
          <w:right w:val="single" w:color="FFFFFF" w:sz="6" w:space="0"/>
        </w:tcBorders>
      </w:tcPr>
    </w:tblStylePr>
    <w:tblStylePr w:type="swCell">
      <w:rPr>
        <w:b/>
        <w:bCs/>
      </w:rPr>
    </w:tblStylePr>
  </w:style>
  <w:style w:type="table" w:styleId="1459">
    <w:name w:val="Table 3D effects 3"/>
    <w:basedOn w:val="1291"/>
    <w:semiHidden/>
    <w:tblPr>
      <w:tblStyleRowBandSize w:val="1"/>
      <w:tblStyleColBandSize w:val="1"/>
    </w:tblPr>
    <w:tblStylePr w:type="band1Horz">
      <w:tcPr>
        <w:tcBorders>
          <w:top w:val="single" w:color="808080" w:sz="6" w:space="0"/>
          <w:bottom w:val="single" w:color="FFFFFF" w:sz="6" w:space="0"/>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firstCol">
      <w:tcPr>
        <w:tcBorders>
          <w:top w:val="none" w:color="000000" w:sz="0" w:space="0"/>
          <w:bottom w:val="none" w:color="000000" w:sz="0" w:space="0"/>
          <w:right w:val="single" w:color="808080" w:sz="6" w:space="0"/>
        </w:tcBorders>
      </w:tcPr>
    </w:tblStylePr>
    <w:tblStylePr w:type="firstRow">
      <w:rPr>
        <w:b/>
        <w:bCs/>
      </w:rPr>
    </w:tblStylePr>
    <w:tblStylePr w:type="lastCol">
      <w:tcPr>
        <w:tcBorders>
          <w:right w:val="single" w:color="FFFFFF" w:sz="6" w:space="0"/>
        </w:tcBorders>
      </w:tcPr>
    </w:tblStylePr>
    <w:tblStylePr w:type="swCell">
      <w:rPr>
        <w:b/>
        <w:bCs/>
      </w:rPr>
    </w:tblStylePr>
  </w:style>
  <w:style w:type="paragraph" w:styleId="1460">
    <w:name w:val="Normal (Web)"/>
    <w:basedOn w:val="1280"/>
  </w:style>
  <w:style w:type="paragraph" w:styleId="1461">
    <w:name w:val="Normal Indent"/>
    <w:basedOn w:val="1280"/>
    <w:pPr>
      <w:ind w:left="708"/>
    </w:pPr>
  </w:style>
  <w:style w:type="character" w:styleId="1462">
    <w:name w:val="HTML Definition"/>
    <w:semiHidden/>
    <w:rPr>
      <w:i/>
      <w:iCs/>
    </w:rPr>
  </w:style>
  <w:style w:type="paragraph" w:styleId="1463">
    <w:name w:val="table of figures"/>
    <w:basedOn w:val="1280"/>
    <w:next w:val="1305"/>
    <w:uiPriority w:val="99"/>
    <w:pPr>
      <w:contextualSpacing/>
      <w:ind w:left="567" w:right="567" w:hanging="567"/>
      <w:jc w:val="left"/>
      <w:spacing w:before="120" w:after="120"/>
      <w:tabs>
        <w:tab w:val="left" w:pos="567" w:leader="dot"/>
        <w:tab w:val="left" w:pos="1134" w:leader="none"/>
        <w:tab w:val="right" w:pos="9631" w:leader="dot"/>
      </w:tabs>
    </w:pPr>
  </w:style>
  <w:style w:type="paragraph" w:styleId="1464" w:customStyle="1">
    <w:name w:val="_GOST_List_normal_3"/>
    <w:pPr>
      <w:contextualSpacing/>
      <w:ind w:left="1418"/>
      <w:jc w:val="both"/>
      <w:spacing w:before="60" w:after="60"/>
      <w:tabs>
        <w:tab w:val="left" w:pos="1418" w:leader="none"/>
      </w:tabs>
    </w:pPr>
    <w:rPr>
      <w:sz w:val="24"/>
    </w:rPr>
  </w:style>
  <w:style w:type="paragraph" w:styleId="1465" w:customStyle="1">
    <w:name w:val="_GOST_List_normal_4"/>
    <w:pPr>
      <w:contextualSpacing/>
      <w:ind w:left="1701"/>
      <w:jc w:val="both"/>
      <w:spacing w:before="60" w:after="60"/>
      <w:tabs>
        <w:tab w:val="left" w:pos="1701" w:leader="none"/>
      </w:tabs>
    </w:pPr>
    <w:rPr>
      <w:sz w:val="24"/>
      <w:szCs w:val="24"/>
    </w:rPr>
  </w:style>
  <w:style w:type="paragraph" w:styleId="1466">
    <w:name w:val="Footer"/>
    <w:basedOn w:val="1280"/>
    <w:link w:val="1552"/>
    <w:pPr>
      <w:tabs>
        <w:tab w:val="center" w:pos="4677" w:leader="none"/>
        <w:tab w:val="right" w:pos="9355" w:leader="none"/>
      </w:tabs>
    </w:pPr>
  </w:style>
  <w:style w:type="paragraph" w:styleId="1467" w:customStyle="1">
    <w:name w:val="_GOST_List_num"/>
    <w:pPr>
      <w:numPr>
        <w:ilvl w:val="0"/>
        <w:numId w:val="124"/>
      </w:numPr>
      <w:contextualSpacing/>
      <w:jc w:val="both"/>
      <w:spacing w:before="120" w:after="120"/>
    </w:pPr>
    <w:rPr>
      <w:sz w:val="24"/>
    </w:rPr>
  </w:style>
  <w:style w:type="character" w:styleId="1468" w:customStyle="1">
    <w:name w:val="_GOST_Note Знак"/>
    <w:link w:val="1307"/>
    <w:rPr>
      <w:sz w:val="24"/>
    </w:rPr>
  </w:style>
  <w:style w:type="paragraph" w:styleId="1469" w:customStyle="1">
    <w:name w:val="_GOST_List_mark5"/>
    <w:basedOn w:val="1299"/>
    <w:pPr>
      <w:ind w:left="1985" w:hanging="284"/>
      <w:tabs>
        <w:tab w:val="clear" w:pos="1701" w:leader="none"/>
        <w:tab w:val="left" w:pos="1985" w:leader="none"/>
      </w:tabs>
    </w:pPr>
  </w:style>
  <w:style w:type="paragraph" w:styleId="1470" w:customStyle="1">
    <w:name w:val="_GOST_List_num3"/>
    <w:basedOn w:val="1303"/>
    <w:pPr>
      <w:numPr>
        <w:ilvl w:val="2"/>
      </w:numPr>
      <w:ind w:left="2268" w:hanging="737"/>
      <w:tabs>
        <w:tab w:val="left" w:pos="2268" w:leader="none"/>
        <w:tab w:val="clear" w:pos="2421" w:leader="none"/>
      </w:tabs>
    </w:pPr>
  </w:style>
  <w:style w:type="paragraph" w:styleId="1471" w:customStyle="1">
    <w:name w:val="_GOST_List_num4"/>
    <w:basedOn w:val="1470"/>
    <w:pPr>
      <w:numPr>
        <w:ilvl w:val="3"/>
      </w:numPr>
      <w:ind w:left="2836" w:hanging="851"/>
      <w:tabs>
        <w:tab w:val="clear" w:pos="2268" w:leader="none"/>
        <w:tab w:val="left" w:pos="2835" w:leader="none"/>
      </w:tabs>
    </w:pPr>
  </w:style>
  <w:style w:type="paragraph" w:styleId="1472" w:customStyle="1">
    <w:name w:val="Заг_4_Приложение"/>
    <w:basedOn w:val="1329"/>
    <w:next w:val="1305"/>
    <w:pPr>
      <w:ind w:left="737" w:hanging="737"/>
      <w:outlineLvl w:val="3"/>
    </w:pPr>
    <w:rPr>
      <w:sz w:val="26"/>
      <w:szCs w:val="26"/>
    </w:rPr>
  </w:style>
  <w:style w:type="table" w:styleId="1473">
    <w:name w:val="Table Grid"/>
    <w:basedOn w:val="1291"/>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474" w:customStyle="1">
    <w:name w:val="_GOST_List_normal_5"/>
    <w:pPr>
      <w:contextualSpacing/>
      <w:ind w:left="1985"/>
      <w:jc w:val="both"/>
      <w:spacing w:before="60" w:after="60"/>
      <w:tabs>
        <w:tab w:val="left" w:pos="1985" w:leader="none"/>
      </w:tabs>
    </w:pPr>
    <w:rPr>
      <w:sz w:val="24"/>
    </w:rPr>
  </w:style>
  <w:style w:type="paragraph" w:styleId="1475" w:customStyle="1">
    <w:name w:val="_GOST_Table_List_Num_2"/>
    <w:basedOn w:val="1319"/>
    <w:pPr>
      <w:numPr>
        <w:ilvl w:val="1"/>
      </w:numPr>
    </w:pPr>
  </w:style>
  <w:style w:type="paragraph" w:styleId="1476" w:customStyle="1">
    <w:name w:val="_GOST_Table_List_Mark_2"/>
    <w:basedOn w:val="1318"/>
    <w:pPr>
      <w:ind w:left="454"/>
      <w:tabs>
        <w:tab w:val="left" w:pos="454" w:leader="none"/>
      </w:tabs>
    </w:pPr>
  </w:style>
  <w:style w:type="paragraph" w:styleId="1477" w:customStyle="1">
    <w:name w:val="T_Тит_Обозначение"/>
    <w:basedOn w:val="1280"/>
    <w:uiPriority w:val="99"/>
    <w:pPr>
      <w:ind w:firstLine="0"/>
      <w:jc w:val="center"/>
      <w:spacing w:before="120"/>
      <w:widowControl w:val="off"/>
    </w:pPr>
    <w:rPr>
      <w:rFonts w:ascii="ISOCPEUR" w:hAnsi="ISOCPEUR" w:cs="Arial"/>
      <w:i/>
      <w:sz w:val="38"/>
      <w:szCs w:val="32"/>
    </w:rPr>
  </w:style>
  <w:style w:type="paragraph" w:styleId="1478" w:customStyle="1">
    <w:name w:val="T_ОН_Таблица изменений"/>
    <w:basedOn w:val="1280"/>
    <w:link w:val="1479"/>
    <w:uiPriority w:val="99"/>
    <w:pPr>
      <w:ind w:firstLine="0"/>
      <w:jc w:val="center"/>
      <w:spacing w:before="120"/>
    </w:pPr>
    <w:rPr>
      <w:rFonts w:ascii="ISOCPEUR" w:hAnsi="ISOCPEUR"/>
      <w:i/>
      <w:sz w:val="18"/>
      <w:szCs w:val="14"/>
    </w:rPr>
  </w:style>
  <w:style w:type="character" w:styleId="1479" w:customStyle="1">
    <w:name w:val="T_ОН_Таблица изменений Знак"/>
    <w:link w:val="1478"/>
    <w:uiPriority w:val="99"/>
    <w:rPr>
      <w:rFonts w:ascii="ISOCPEUR" w:hAnsi="ISOCPEUR"/>
      <w:i/>
      <w:sz w:val="18"/>
      <w:szCs w:val="14"/>
    </w:rPr>
  </w:style>
  <w:style w:type="paragraph" w:styleId="1480" w:customStyle="1">
    <w:name w:val="T_ОН_Заголовки"/>
    <w:basedOn w:val="1280"/>
    <w:uiPriority w:val="99"/>
    <w:pPr>
      <w:ind w:firstLine="0"/>
      <w:jc w:val="center"/>
      <w:spacing w:before="120"/>
      <w:widowControl w:val="off"/>
    </w:pPr>
    <w:rPr>
      <w:rFonts w:ascii="ISOCPEUR" w:hAnsi="ISOCPEUR" w:cs="Arial"/>
      <w:i/>
      <w:sz w:val="20"/>
      <w:szCs w:val="18"/>
    </w:rPr>
  </w:style>
  <w:style w:type="paragraph" w:styleId="1481" w:customStyle="1">
    <w:name w:val="T_ОН_Лист 2"/>
    <w:basedOn w:val="1280"/>
    <w:uiPriority w:val="99"/>
    <w:pPr>
      <w:ind w:firstLine="0"/>
      <w:jc w:val="center"/>
      <w:spacing w:before="40"/>
    </w:pPr>
    <w:rPr>
      <w:rFonts w:ascii="ISOCPEUR" w:hAnsi="ISOCPEUR"/>
      <w:i/>
      <w:sz w:val="22"/>
      <w:szCs w:val="24"/>
    </w:rPr>
  </w:style>
  <w:style w:type="paragraph" w:styleId="1482" w:customStyle="1">
    <w:name w:val="T_ОН_Номер листа"/>
    <w:basedOn w:val="1280"/>
    <w:uiPriority w:val="99"/>
    <w:pPr>
      <w:ind w:firstLine="0"/>
      <w:jc w:val="center"/>
      <w:spacing w:before="60"/>
      <w:widowControl w:val="off"/>
    </w:pPr>
    <w:rPr>
      <w:rFonts w:ascii="ISOCPEUR" w:hAnsi="ISOCPEUR" w:cs="Arial"/>
      <w:i/>
      <w:sz w:val="28"/>
      <w:szCs w:val="18"/>
      <w:lang w:val="en-US"/>
    </w:rPr>
  </w:style>
  <w:style w:type="paragraph" w:styleId="1483" w:customStyle="1">
    <w:name w:val="T_ОН_Фирма"/>
    <w:basedOn w:val="1280"/>
    <w:link w:val="1484"/>
    <w:uiPriority w:val="99"/>
    <w:pPr>
      <w:ind w:firstLine="0"/>
      <w:jc w:val="center"/>
      <w:spacing w:before="120"/>
    </w:pPr>
    <w:rPr>
      <w:rFonts w:ascii="ISOCPEUR" w:hAnsi="ISOCPEUR"/>
      <w:i/>
      <w:sz w:val="22"/>
      <w:szCs w:val="21"/>
    </w:rPr>
  </w:style>
  <w:style w:type="character" w:styleId="1484" w:customStyle="1">
    <w:name w:val="T_ОН_Фирма Знак"/>
    <w:link w:val="1483"/>
    <w:uiPriority w:val="99"/>
    <w:rPr>
      <w:rFonts w:ascii="ISOCPEUR" w:hAnsi="ISOCPEUR"/>
      <w:i/>
      <w:sz w:val="22"/>
      <w:szCs w:val="21"/>
    </w:rPr>
  </w:style>
  <w:style w:type="paragraph" w:styleId="1485" w:customStyle="1">
    <w:name w:val="_EB_Titul_2"/>
    <w:semiHidden/>
    <w:pPr>
      <w:jc w:val="center"/>
    </w:pPr>
    <w:rPr>
      <w:b/>
      <w:caps/>
      <w:sz w:val="32"/>
      <w:szCs w:val="28"/>
    </w:rPr>
  </w:style>
  <w:style w:type="paragraph" w:styleId="1486" w:customStyle="1">
    <w:name w:val="_EB_Table_norm"/>
    <w:link w:val="2207"/>
    <w:semiHidden/>
    <w:qFormat/>
    <w:pPr>
      <w:contextualSpacing/>
      <w:ind w:left="113" w:right="113"/>
      <w:jc w:val="both"/>
      <w:spacing w:before="60" w:after="60"/>
    </w:pPr>
    <w:rPr>
      <w:sz w:val="24"/>
    </w:rPr>
  </w:style>
  <w:style w:type="paragraph" w:styleId="1487" w:customStyle="1">
    <w:name w:val="_EB_Table_Head"/>
    <w:basedOn w:val="1486"/>
    <w:semiHidden/>
    <w:pPr>
      <w:jc w:val="center"/>
      <w:keepNext/>
    </w:pPr>
    <w:rPr>
      <w:b/>
      <w:bCs/>
    </w:rPr>
  </w:style>
  <w:style w:type="character" w:styleId="1488" w:customStyle="1">
    <w:name w:val="_EB_Normal Знак"/>
    <w:link w:val="1489"/>
    <w:semiHidden/>
    <w:rPr>
      <w:sz w:val="28"/>
    </w:rPr>
  </w:style>
  <w:style w:type="paragraph" w:styleId="1489" w:customStyle="1">
    <w:name w:val="_EB_Normal"/>
    <w:link w:val="1488"/>
    <w:semiHidden/>
    <w:pPr>
      <w:contextualSpacing/>
      <w:ind w:firstLine="567"/>
      <w:jc w:val="both"/>
      <w:spacing w:before="120" w:after="60"/>
    </w:pPr>
    <w:rPr>
      <w:sz w:val="28"/>
    </w:rPr>
  </w:style>
  <w:style w:type="paragraph" w:styleId="1490" w:customStyle="1">
    <w:name w:val="_EB_List_mark1"/>
    <w:link w:val="1494"/>
    <w:semiHidden/>
    <w:pPr>
      <w:contextualSpacing/>
      <w:ind w:left="851" w:hanging="284"/>
      <w:jc w:val="both"/>
      <w:spacing w:after="60"/>
      <w:tabs>
        <w:tab w:val="left" w:pos="851" w:leader="none"/>
      </w:tabs>
    </w:pPr>
    <w:rPr>
      <w:sz w:val="28"/>
    </w:rPr>
  </w:style>
  <w:style w:type="paragraph" w:styleId="1491" w:customStyle="1">
    <w:name w:val="_EB_List_num"/>
    <w:basedOn w:val="1280"/>
    <w:link w:val="1841"/>
    <w:semiHidden/>
    <w:pPr>
      <w:contextualSpacing/>
      <w:ind w:left="1305" w:hanging="454"/>
      <w:jc w:val="left"/>
      <w:spacing w:before="120" w:after="120"/>
      <w:tabs>
        <w:tab w:val="num" w:pos="1305" w:leader="none"/>
      </w:tabs>
    </w:pPr>
    <w:rPr>
      <w:sz w:val="28"/>
      <w:szCs w:val="24"/>
    </w:rPr>
  </w:style>
  <w:style w:type="paragraph" w:styleId="1492" w:customStyle="1">
    <w:name w:val="_EB_List_num2"/>
    <w:basedOn w:val="1491"/>
    <w:semiHidden/>
    <w:pPr>
      <w:ind w:left="1588" w:hanging="567"/>
      <w:tabs>
        <w:tab w:val="clear" w:pos="1305" w:leader="none"/>
        <w:tab w:val="num" w:pos="1588" w:leader="none"/>
      </w:tabs>
    </w:pPr>
  </w:style>
  <w:style w:type="paragraph" w:styleId="1493" w:customStyle="1">
    <w:name w:val="_EB_List_mark3"/>
    <w:basedOn w:val="1280"/>
    <w:uiPriority w:val="99"/>
    <w:pPr>
      <w:numPr>
        <w:ilvl w:val="0"/>
        <w:numId w:val="23"/>
      </w:numPr>
      <w:ind w:left="1418" w:hanging="284"/>
      <w:spacing w:after="60"/>
      <w:tabs>
        <w:tab w:val="left" w:pos="1418" w:leader="none"/>
      </w:tabs>
    </w:pPr>
    <w:rPr>
      <w:sz w:val="28"/>
    </w:rPr>
  </w:style>
  <w:style w:type="character" w:styleId="1494" w:customStyle="1">
    <w:name w:val="_EB_List_mark1 Знак"/>
    <w:link w:val="1490"/>
    <w:semiHidden/>
    <w:rPr>
      <w:sz w:val="28"/>
    </w:rPr>
  </w:style>
  <w:style w:type="character" w:styleId="1495" w:customStyle="1">
    <w:name w:val="_EB_Sym_Bold"/>
    <w:semiHidden/>
    <w:rPr>
      <w:rFonts w:ascii="Times New Roman" w:hAnsi="Times New Roman"/>
      <w:b/>
      <w:sz w:val="28"/>
    </w:rPr>
  </w:style>
  <w:style w:type="paragraph" w:styleId="1496" w:customStyle="1">
    <w:name w:val="_EB_Figure"/>
    <w:next w:val="1280"/>
    <w:link w:val="1533"/>
    <w:semiHidden/>
    <w:pPr>
      <w:jc w:val="center"/>
      <w:keepNext/>
      <w:spacing w:before="120" w:after="120"/>
    </w:pPr>
    <w:rPr>
      <w:sz w:val="24"/>
    </w:rPr>
  </w:style>
  <w:style w:type="paragraph" w:styleId="1497" w:customStyle="1">
    <w:name w:val="_EB_Fig_Name"/>
    <w:basedOn w:val="1496"/>
    <w:next w:val="1280"/>
    <w:link w:val="1534"/>
    <w:semiHidden/>
    <w:pPr>
      <w:contextualSpacing/>
      <w:ind w:left="1276"/>
      <w:keepNext w:val="0"/>
      <w:tabs>
        <w:tab w:val="num" w:pos="1276" w:leader="none"/>
      </w:tabs>
    </w:pPr>
    <w:rPr>
      <w:b/>
      <w:sz w:val="28"/>
      <w:szCs w:val="28"/>
    </w:rPr>
  </w:style>
  <w:style w:type="paragraph" w:styleId="1498" w:customStyle="1">
    <w:name w:val="_EB_header"/>
    <w:semiHidden/>
    <w:rPr>
      <w:b/>
      <w:color w:val="808080"/>
      <w:sz w:val="24"/>
    </w:rPr>
  </w:style>
  <w:style w:type="paragraph" w:styleId="1499" w:customStyle="1">
    <w:name w:val="_EB_List_normal"/>
    <w:semiHidden/>
    <w:pPr>
      <w:contextualSpacing/>
      <w:ind w:left="1021"/>
      <w:jc w:val="both"/>
      <w:spacing w:after="60"/>
      <w:tabs>
        <w:tab w:val="left" w:pos="284" w:leader="none"/>
      </w:tabs>
    </w:pPr>
    <w:rPr>
      <w:sz w:val="28"/>
    </w:rPr>
  </w:style>
  <w:style w:type="paragraph" w:styleId="1500" w:customStyle="1">
    <w:name w:val="_EB_Name_Table"/>
    <w:semiHidden/>
    <w:pPr>
      <w:ind w:firstLine="567"/>
      <w:keepNext/>
      <w:spacing w:before="240" w:after="120"/>
      <w:tabs>
        <w:tab w:val="num" w:pos="567" w:leader="none"/>
      </w:tabs>
    </w:pPr>
    <w:rPr>
      <w:b/>
      <w:sz w:val="28"/>
    </w:rPr>
  </w:style>
  <w:style w:type="paragraph" w:styleId="1501" w:customStyle="1">
    <w:name w:val="_EB_Note"/>
    <w:semiHidden/>
    <w:pPr>
      <w:ind w:left="1701" w:hanging="1701"/>
      <w:jc w:val="both"/>
      <w:spacing w:before="120" w:after="120"/>
    </w:pPr>
    <w:rPr>
      <w:sz w:val="28"/>
    </w:rPr>
  </w:style>
  <w:style w:type="paragraph" w:styleId="1502" w:customStyle="1">
    <w:name w:val="_EB_Note_Continue"/>
    <w:basedOn w:val="1501"/>
    <w:semiHidden/>
    <w:pPr>
      <w:ind w:firstLine="0"/>
    </w:pPr>
  </w:style>
  <w:style w:type="paragraph" w:styleId="1503" w:customStyle="1">
    <w:name w:val="_EB_Reg"/>
    <w:semiHidden/>
    <w:pPr>
      <w:contextualSpacing/>
      <w:jc w:val="center"/>
      <w:keepNext/>
      <w:pageBreakBefore/>
      <w:spacing w:before="120" w:after="120"/>
      <w:outlineLvl w:val="0"/>
    </w:pPr>
    <w:rPr>
      <w:b/>
      <w:caps/>
      <w:sz w:val="28"/>
    </w:rPr>
  </w:style>
  <w:style w:type="paragraph" w:styleId="1504" w:customStyle="1">
    <w:name w:val="_EB_Sign"/>
    <w:basedOn w:val="1503"/>
    <w:semiHidden/>
    <w:pPr>
      <w:pageBreakBefore w:val="0"/>
      <w:outlineLvl w:val="9"/>
    </w:pPr>
    <w:rPr>
      <w:caps w:val="0"/>
    </w:rPr>
  </w:style>
  <w:style w:type="character" w:styleId="1505" w:customStyle="1">
    <w:name w:val="_EB_Sym_Bold_Italic"/>
    <w:semiHidden/>
    <w:rPr>
      <w:rFonts w:ascii="Times New Roman" w:hAnsi="Times New Roman"/>
      <w:b/>
      <w:i/>
      <w:sz w:val="28"/>
    </w:rPr>
  </w:style>
  <w:style w:type="character" w:styleId="1506" w:customStyle="1">
    <w:name w:val="_EB_Sym_Italic"/>
    <w:semiHidden/>
    <w:rPr>
      <w:rFonts w:ascii="Times New Roman" w:hAnsi="Times New Roman"/>
      <w:i/>
      <w:sz w:val="28"/>
    </w:rPr>
  </w:style>
  <w:style w:type="paragraph" w:styleId="1507" w:customStyle="1">
    <w:name w:val="_EB_Table_List_Mark"/>
    <w:link w:val="2036"/>
    <w:semiHidden/>
    <w:pPr>
      <w:ind w:left="340" w:hanging="198"/>
      <w:spacing w:before="60" w:after="60"/>
      <w:tabs>
        <w:tab w:val="left" w:pos="170" w:leader="none"/>
        <w:tab w:val="num" w:pos="340" w:leader="none"/>
      </w:tabs>
    </w:pPr>
    <w:rPr>
      <w:sz w:val="24"/>
    </w:rPr>
  </w:style>
  <w:style w:type="paragraph" w:styleId="1508" w:customStyle="1">
    <w:name w:val="_EB_Table_List_Num"/>
    <w:basedOn w:val="1280"/>
    <w:semiHidden/>
    <w:pPr>
      <w:contextualSpacing/>
      <w:ind w:left="284" w:right="57" w:hanging="284"/>
      <w:jc w:val="left"/>
      <w:spacing w:before="60" w:after="60"/>
      <w:tabs>
        <w:tab w:val="num" w:pos="284" w:leader="none"/>
      </w:tabs>
    </w:pPr>
    <w:rPr>
      <w:szCs w:val="22"/>
    </w:rPr>
  </w:style>
  <w:style w:type="paragraph" w:styleId="1509" w:customStyle="1">
    <w:name w:val="_EB_Table_Num"/>
    <w:semiHidden/>
    <w:pPr>
      <w:ind w:left="284" w:hanging="171"/>
      <w:spacing w:before="60" w:after="60"/>
      <w:tabs>
        <w:tab w:val="num" w:pos="113" w:leader="none"/>
      </w:tabs>
    </w:pPr>
    <w:rPr>
      <w:rFonts w:cs="Franklin Gothic Book"/>
      <w:sz w:val="24"/>
    </w:rPr>
  </w:style>
  <w:style w:type="paragraph" w:styleId="1510" w:customStyle="1">
    <w:name w:val="_EB_Titul_0"/>
    <w:semiHidden/>
    <w:pPr>
      <w:contextualSpacing/>
      <w:jc w:val="center"/>
      <w:spacing w:line="360" w:lineRule="auto"/>
    </w:pPr>
    <w:rPr>
      <w:sz w:val="28"/>
      <w:szCs w:val="28"/>
    </w:rPr>
  </w:style>
  <w:style w:type="paragraph" w:styleId="1511" w:customStyle="1">
    <w:name w:val="_EB_Titul_1"/>
    <w:semiHidden/>
    <w:pPr>
      <w:contextualSpacing/>
      <w:jc w:val="center"/>
      <w:spacing w:before="240" w:after="240"/>
    </w:pPr>
    <w:rPr>
      <w:sz w:val="32"/>
      <w:szCs w:val="28"/>
    </w:rPr>
  </w:style>
  <w:style w:type="paragraph" w:styleId="1512" w:customStyle="1">
    <w:name w:val="_EB_Titul_name_doc"/>
    <w:semiHidden/>
    <w:pPr>
      <w:contextualSpacing/>
      <w:jc w:val="center"/>
      <w:spacing w:before="200" w:after="400"/>
    </w:pPr>
    <w:rPr>
      <w:b/>
      <w:sz w:val="32"/>
      <w:szCs w:val="28"/>
    </w:rPr>
  </w:style>
  <w:style w:type="paragraph" w:styleId="1513" w:customStyle="1">
    <w:name w:val="_EB_Script"/>
    <w:basedOn w:val="1280"/>
    <w:semiHidden/>
    <w:pPr>
      <w:ind w:left="567" w:right="29" w:firstLine="0"/>
      <w:jc w:val="left"/>
      <w:pBdr>
        <w:top w:val="single" w:color="000000" w:sz="4" w:space="1"/>
        <w:left w:val="single" w:color="000000" w:sz="4" w:space="4"/>
        <w:bottom w:val="single" w:color="000000" w:sz="4" w:space="1"/>
        <w:right w:val="single" w:color="000000" w:sz="4" w:space="4"/>
      </w:pBdr>
    </w:pPr>
    <w:rPr>
      <w:rFonts w:ascii="Courier New" w:hAnsi="Courier New"/>
      <w:spacing w:val="-20"/>
      <w:sz w:val="22"/>
      <w:szCs w:val="24"/>
      <w:lang w:val="en-US"/>
    </w:rPr>
  </w:style>
  <w:style w:type="paragraph" w:styleId="1514" w:customStyle="1">
    <w:name w:val="OTR_Titul_name_doc"/>
    <w:basedOn w:val="1280"/>
    <w:semiHidden/>
    <w:pPr>
      <w:contextualSpacing/>
      <w:ind w:firstLine="0"/>
      <w:jc w:val="center"/>
      <w:spacing w:before="200" w:after="400"/>
    </w:pPr>
    <w:rPr>
      <w:b/>
      <w:sz w:val="32"/>
      <w:szCs w:val="28"/>
    </w:rPr>
  </w:style>
  <w:style w:type="paragraph" w:styleId="1515" w:customStyle="1">
    <w:name w:val="TableText"/>
    <w:basedOn w:val="1280"/>
    <w:pPr>
      <w:ind w:firstLine="0"/>
      <w:jc w:val="left"/>
      <w:keepLines/>
      <w:spacing w:line="288" w:lineRule="auto"/>
    </w:pPr>
    <w:rPr>
      <w:sz w:val="28"/>
      <w:szCs w:val="24"/>
    </w:rPr>
  </w:style>
  <w:style w:type="paragraph" w:styleId="1516" w:customStyle="1">
    <w:name w:val="OTR_TITUL_new"/>
    <w:basedOn w:val="1280"/>
    <w:pPr>
      <w:ind w:firstLine="0"/>
      <w:jc w:val="center"/>
      <w:spacing w:line="360" w:lineRule="auto"/>
    </w:pPr>
    <w:rPr>
      <w:sz w:val="28"/>
      <w:szCs w:val="28"/>
    </w:rPr>
  </w:style>
  <w:style w:type="paragraph" w:styleId="1517" w:customStyle="1">
    <w:name w:val="OTR_Titul_new_1"/>
    <w:basedOn w:val="1280"/>
    <w:semiHidden/>
    <w:pPr>
      <w:contextualSpacing/>
      <w:ind w:firstLine="0"/>
      <w:jc w:val="center"/>
      <w:spacing w:before="240" w:after="240"/>
    </w:pPr>
    <w:rPr>
      <w:sz w:val="32"/>
      <w:szCs w:val="28"/>
    </w:rPr>
  </w:style>
  <w:style w:type="paragraph" w:styleId="1518" w:customStyle="1">
    <w:name w:val="OTR_Titul_LU"/>
    <w:basedOn w:val="1280"/>
    <w:semiHidden/>
    <w:pPr>
      <w:contextualSpacing/>
      <w:ind w:firstLine="0"/>
      <w:jc w:val="center"/>
      <w:spacing w:before="240" w:after="240"/>
    </w:pPr>
    <w:rPr>
      <w:sz w:val="32"/>
      <w:szCs w:val="28"/>
    </w:rPr>
  </w:style>
  <w:style w:type="paragraph" w:styleId="1519" w:customStyle="1">
    <w:name w:val="_EB_Normal_Without"/>
    <w:basedOn w:val="1489"/>
    <w:next w:val="1489"/>
    <w:semiHidden/>
    <w:qFormat/>
    <w:pPr>
      <w:keepNext/>
    </w:pPr>
  </w:style>
  <w:style w:type="paragraph" w:styleId="1520" w:customStyle="1">
    <w:name w:val="_EB_Приложение_А"/>
    <w:next w:val="1489"/>
    <w:link w:val="1528"/>
    <w:semiHidden/>
    <w:pPr>
      <w:numPr>
        <w:ilvl w:val="0"/>
        <w:numId w:val="26"/>
      </w:numPr>
      <w:ind w:left="0" w:firstLine="0"/>
      <w:jc w:val="center"/>
      <w:keepNext/>
      <w:pageBreakBefore/>
      <w:spacing w:before="240" w:after="240"/>
      <w:outlineLvl w:val="0"/>
    </w:pPr>
    <w:rPr>
      <w:b/>
      <w:bCs/>
      <w:caps/>
      <w:sz w:val="32"/>
      <w:lang w:eastAsia="en-US"/>
    </w:rPr>
  </w:style>
  <w:style w:type="paragraph" w:styleId="1521" w:customStyle="1">
    <w:name w:val="_EB_An"/>
    <w:next w:val="1489"/>
    <w:semiHidden/>
    <w:pPr>
      <w:contextualSpacing/>
      <w:jc w:val="center"/>
      <w:keepNext/>
      <w:spacing w:before="120" w:after="240"/>
    </w:pPr>
    <w:rPr>
      <w:b/>
      <w:sz w:val="32"/>
      <w:szCs w:val="28"/>
    </w:rPr>
  </w:style>
  <w:style w:type="paragraph" w:styleId="1522" w:customStyle="1">
    <w:name w:val="_EB_List_mark4"/>
    <w:basedOn w:val="1493"/>
    <w:semiHidden/>
    <w:pPr>
      <w:numPr>
        <w:ilvl w:val="0"/>
        <w:numId w:val="25"/>
      </w:numPr>
      <w:ind w:left="1702" w:hanging="284"/>
      <w:tabs>
        <w:tab w:val="clear" w:pos="1418" w:leader="none"/>
        <w:tab w:val="left" w:pos="1701" w:leader="none"/>
      </w:tabs>
    </w:pPr>
    <w:rPr>
      <w:szCs w:val="28"/>
    </w:rPr>
  </w:style>
  <w:style w:type="paragraph" w:styleId="1523" w:customStyle="1">
    <w:name w:val="_EB_List_mark5"/>
    <w:basedOn w:val="1522"/>
    <w:semiHidden/>
    <w:pPr>
      <w:ind w:left="1985"/>
      <w:tabs>
        <w:tab w:val="clear" w:pos="1701" w:leader="none"/>
        <w:tab w:val="left" w:pos="1985" w:leader="none"/>
      </w:tabs>
    </w:pPr>
  </w:style>
  <w:style w:type="paragraph" w:styleId="1524" w:customStyle="1">
    <w:name w:val="_EB_Приложение_А.1"/>
    <w:next w:val="1489"/>
    <w:semiHidden/>
    <w:pPr>
      <w:numPr>
        <w:ilvl w:val="1"/>
        <w:numId w:val="26"/>
      </w:numPr>
      <w:ind w:left="680" w:hanging="680"/>
      <w:keepNext/>
      <w:spacing w:before="240" w:after="240"/>
      <w:tabs>
        <w:tab w:val="clear" w:pos="0" w:leader="none"/>
        <w:tab w:val="num" w:pos="684" w:leader="none"/>
      </w:tabs>
      <w:outlineLvl w:val="1"/>
    </w:pPr>
    <w:rPr>
      <w:rFonts w:ascii="Times New Roman Полужирный" w:hAnsi="Times New Roman Полужирный"/>
      <w:b/>
      <w:bCs/>
      <w:sz w:val="32"/>
      <w:lang w:eastAsia="en-US"/>
    </w:rPr>
  </w:style>
  <w:style w:type="paragraph" w:styleId="1525" w:customStyle="1">
    <w:name w:val="_EB_Приложение_А.1.1"/>
    <w:next w:val="1489"/>
    <w:semiHidden/>
    <w:qFormat/>
    <w:pPr>
      <w:numPr>
        <w:ilvl w:val="2"/>
        <w:numId w:val="26"/>
      </w:numPr>
      <w:ind w:left="851" w:hanging="851"/>
      <w:keepNext/>
      <w:spacing w:before="240" w:after="240"/>
      <w:tabs>
        <w:tab w:val="clear" w:pos="0" w:leader="none"/>
        <w:tab w:val="left" w:pos="851" w:leader="none"/>
      </w:tabs>
      <w:outlineLvl w:val="2"/>
    </w:pPr>
    <w:rPr>
      <w:rFonts w:ascii="Times New Roman Полужирный" w:hAnsi="Times New Roman Полужирный"/>
      <w:b/>
      <w:sz w:val="28"/>
      <w:lang w:eastAsia="en-US"/>
    </w:rPr>
  </w:style>
  <w:style w:type="paragraph" w:styleId="1526" w:customStyle="1">
    <w:name w:val="_EB_Приложение_А.1.1.1"/>
    <w:next w:val="1489"/>
    <w:semiHidden/>
    <w:qFormat/>
    <w:pPr>
      <w:numPr>
        <w:ilvl w:val="3"/>
        <w:numId w:val="26"/>
      </w:numPr>
      <w:ind w:left="1134" w:hanging="1134"/>
      <w:spacing w:before="240" w:after="240"/>
      <w:tabs>
        <w:tab w:val="clear" w:pos="0" w:leader="none"/>
        <w:tab w:val="num" w:pos="1134" w:leader="none"/>
      </w:tabs>
      <w:outlineLvl w:val="3"/>
    </w:pPr>
    <w:rPr>
      <w:rFonts w:ascii="Times New Roman Полужирный" w:hAnsi="Times New Roman Полужирный"/>
      <w:b/>
      <w:sz w:val="28"/>
      <w:lang w:eastAsia="en-US"/>
    </w:rPr>
  </w:style>
  <w:style w:type="paragraph" w:styleId="1527" w:customStyle="1">
    <w:name w:val="_EB_Приложение_А.1.1.1.1"/>
    <w:next w:val="1489"/>
    <w:semiHidden/>
    <w:qFormat/>
    <w:pPr>
      <w:numPr>
        <w:ilvl w:val="4"/>
        <w:numId w:val="26"/>
      </w:numPr>
      <w:ind w:left="1418" w:hanging="1418"/>
      <w:spacing w:before="240" w:after="120"/>
      <w:tabs>
        <w:tab w:val="clear" w:pos="0" w:leader="none"/>
        <w:tab w:val="left" w:pos="1418" w:leader="none"/>
      </w:tabs>
      <w:outlineLvl w:val="4"/>
    </w:pPr>
    <w:rPr>
      <w:rFonts w:ascii="Times New Roman Полужирный" w:hAnsi="Times New Roman Полужирный"/>
      <w:b/>
      <w:sz w:val="28"/>
      <w:lang w:eastAsia="en-US"/>
    </w:rPr>
  </w:style>
  <w:style w:type="character" w:styleId="1528" w:customStyle="1">
    <w:name w:val="_EB_Приложение_А Знак Знак"/>
    <w:basedOn w:val="1290"/>
    <w:link w:val="1520"/>
    <w:semiHidden/>
    <w:rPr>
      <w:b/>
      <w:bCs/>
      <w:caps/>
      <w:sz w:val="32"/>
      <w:lang w:eastAsia="en-US"/>
    </w:rPr>
  </w:style>
  <w:style w:type="paragraph" w:styleId="1529" w:customStyle="1">
    <w:name w:val="_EB_List_mark2"/>
    <w:basedOn w:val="1490"/>
    <w:semiHidden/>
    <w:pPr>
      <w:numPr>
        <w:ilvl w:val="0"/>
        <w:numId w:val="24"/>
      </w:numPr>
      <w:ind w:left="1135" w:hanging="284"/>
      <w:tabs>
        <w:tab w:val="clear" w:pos="851" w:leader="none"/>
        <w:tab w:val="left" w:pos="1134" w:leader="none"/>
      </w:tabs>
    </w:pPr>
  </w:style>
  <w:style w:type="paragraph" w:styleId="1530" w:customStyle="1">
    <w:name w:val="_OTR_Table_Num"/>
    <w:basedOn w:val="1280"/>
    <w:semiHidden/>
    <w:pPr>
      <w:ind w:firstLine="0"/>
      <w:jc w:val="left"/>
      <w:spacing w:before="60" w:after="60"/>
    </w:pPr>
  </w:style>
  <w:style w:type="table" w:styleId="1531" w:customStyle="1">
    <w:name w:val="_OTR_Tabl_01"/>
    <w:basedOn w:val="1291"/>
    <w:semiHidden/>
    <w:pPr>
      <w:jc w:val="both"/>
    </w:pPr>
    <w:rPr>
      <w:sz w:val="24"/>
    </w:rPr>
    <w:tblPr>
      <w:tblStyleRowBandSize w:val="1"/>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57" w:type="dxa"/>
        <w:right w:w="57" w:type="dxa"/>
      </w:tblCellMar>
    </w:tblPr>
    <w:tblStylePr w:type="band1Horz">
      <w:rPr>
        <w:rFonts w:ascii="Times New Roman" w:hAnsi="Times New Roman"/>
        <w:sz w:val="24"/>
      </w:rPr>
      <w:pPr>
        <w:ind w:left="57" w:right="57" w:firstLine="0"/>
        <w:jc w:val="left"/>
        <w:spacing w:beforeAutospacing="0" w:afterAutospacing="0" w:line="240" w:lineRule="auto"/>
        <w:outlineLvl w:val="9"/>
      </w:pPr>
    </w:tblStylePr>
    <w:tblStylePr w:type="band2Horz">
      <w:rPr>
        <w:rFonts w:ascii="Times New Roman" w:hAnsi="Times New Roman"/>
        <w:sz w:val="24"/>
      </w:rPr>
      <w:pPr>
        <w:contextualSpacing w:val="0"/>
        <w:ind w:left="57" w:right="57" w:firstLine="0"/>
        <w:jc w:val="left"/>
        <w:spacing w:beforeAutospacing="0" w:afterAutospacing="0"/>
        <w:outlineLvl w:val="9"/>
      </w:pPr>
    </w:tblStylePr>
    <w:tblStylePr w:type="firstRow">
      <w:rPr>
        <w:rFonts w:ascii="Times New Roman" w:hAnsi="Times New Roman"/>
        <w:b w:val="0"/>
      </w:rPr>
      <w:pPr>
        <w:ind w:left="0" w:right="0" w:firstLine="0"/>
        <w:jc w:val="center"/>
        <w:spacing w:beforeAutospacing="0" w:afterAutospacing="0" w:line="240" w:lineRule="auto"/>
        <w:outlineLvl w:val="9"/>
      </w:pPr>
      <w:tcPr>
        <w:shd w:val="clear" w:color="auto" w:fill="e6e6e6"/>
        <w:tcBorders>
          <w:top w:val="single" w:color="000000" w:sz="4" w:space="0"/>
          <w:left w:val="single" w:color="000000" w:sz="4" w:space="0"/>
          <w:bottom w:val="single" w:color="000000" w:sz="4" w:space="0"/>
          <w:right w:val="single" w:color="000000" w:sz="4" w:space="0"/>
        </w:tcBorders>
        <w:vAlign w:val="center"/>
      </w:tcPr>
    </w:tblStylePr>
  </w:style>
  <w:style w:type="paragraph" w:styleId="1532" w:customStyle="1">
    <w:name w:val="_OTR_Table_norm"/>
    <w:semiHidden/>
    <w:pPr>
      <w:contextualSpacing/>
      <w:jc w:val="both"/>
      <w:spacing w:before="60" w:after="60"/>
    </w:pPr>
    <w:rPr>
      <w:sz w:val="24"/>
    </w:rPr>
  </w:style>
  <w:style w:type="character" w:styleId="1533" w:customStyle="1">
    <w:name w:val="_EB_Figure Знак"/>
    <w:link w:val="1496"/>
    <w:semiHidden/>
    <w:rPr>
      <w:sz w:val="24"/>
    </w:rPr>
  </w:style>
  <w:style w:type="character" w:styleId="1534" w:customStyle="1">
    <w:name w:val="_EB_Fig_Name Знак"/>
    <w:link w:val="1497"/>
    <w:semiHidden/>
    <w:rPr>
      <w:b/>
      <w:sz w:val="28"/>
      <w:szCs w:val="28"/>
    </w:rPr>
  </w:style>
  <w:style w:type="paragraph" w:styleId="1535">
    <w:name w:val="Revision"/>
    <w:hidden/>
    <w:uiPriority w:val="99"/>
    <w:semiHidden/>
    <w:rPr>
      <w:sz w:val="24"/>
      <w:szCs w:val="24"/>
    </w:rPr>
  </w:style>
  <w:style w:type="paragraph" w:styleId="1536" w:customStyle="1">
    <w:name w:val="_ASFK_List_mark1"/>
    <w:link w:val="1538"/>
    <w:semiHidden/>
    <w:pPr>
      <w:ind w:left="851" w:hanging="284"/>
      <w:tabs>
        <w:tab w:val="num" w:pos="851" w:leader="none"/>
      </w:tabs>
    </w:pPr>
    <w:rPr>
      <w:sz w:val="24"/>
    </w:rPr>
  </w:style>
  <w:style w:type="paragraph" w:styleId="1537" w:customStyle="1">
    <w:name w:val="_ASFK_Normal"/>
    <w:link w:val="1539"/>
    <w:semiHidden/>
    <w:pPr>
      <w:contextualSpacing/>
      <w:ind w:firstLine="567"/>
      <w:spacing w:before="120" w:after="60"/>
    </w:pPr>
    <w:rPr>
      <w:sz w:val="24"/>
    </w:rPr>
  </w:style>
  <w:style w:type="character" w:styleId="1538" w:customStyle="1">
    <w:name w:val="_ASFK_List_mark1 Знак Знак"/>
    <w:basedOn w:val="1290"/>
    <w:link w:val="1536"/>
    <w:semiHidden/>
    <w:rPr>
      <w:sz w:val="24"/>
    </w:rPr>
  </w:style>
  <w:style w:type="character" w:styleId="1539" w:customStyle="1">
    <w:name w:val="_ASFK_Normal Знак"/>
    <w:link w:val="1537"/>
    <w:semiHidden/>
    <w:rPr>
      <w:sz w:val="24"/>
    </w:rPr>
  </w:style>
  <w:style w:type="paragraph" w:styleId="1540" w:customStyle="1">
    <w:name w:val="_ASFK_List_mark2"/>
    <w:link w:val="1543"/>
    <w:semiHidden/>
    <w:pPr>
      <w:ind w:left="1134" w:hanging="283"/>
      <w:tabs>
        <w:tab w:val="num" w:pos="1134" w:leader="none"/>
      </w:tabs>
    </w:pPr>
    <w:rPr>
      <w:sz w:val="24"/>
    </w:rPr>
  </w:style>
  <w:style w:type="paragraph" w:styleId="1541" w:customStyle="1">
    <w:name w:val="_ASFK_List_normal_1"/>
    <w:basedOn w:val="1280"/>
    <w:link w:val="1542"/>
    <w:semiHidden/>
    <w:pPr>
      <w:contextualSpacing/>
      <w:ind w:left="851" w:firstLine="0"/>
      <w:jc w:val="left"/>
      <w:spacing w:before="60" w:after="60"/>
      <w:tabs>
        <w:tab w:val="left" w:pos="851" w:leader="none"/>
      </w:tabs>
    </w:pPr>
  </w:style>
  <w:style w:type="character" w:styleId="1542" w:customStyle="1">
    <w:name w:val="_ASFK_List_normal_1;8 см Знак Знак"/>
    <w:basedOn w:val="1290"/>
    <w:link w:val="1541"/>
    <w:semiHidden/>
    <w:rPr>
      <w:sz w:val="24"/>
    </w:rPr>
  </w:style>
  <w:style w:type="character" w:styleId="1543" w:customStyle="1">
    <w:name w:val="_ASFK_List_mark2 Знак"/>
    <w:link w:val="1540"/>
    <w:semiHidden/>
    <w:rPr>
      <w:sz w:val="24"/>
    </w:rPr>
  </w:style>
  <w:style w:type="paragraph" w:styleId="1544" w:customStyle="1">
    <w:name w:val="Приложение29"/>
    <w:basedOn w:val="1280"/>
    <w:next w:val="1280"/>
    <w:semiHidden/>
    <w:pPr>
      <w:numPr>
        <w:ilvl w:val="0"/>
        <w:numId w:val="27"/>
      </w:numPr>
      <w:ind w:left="0" w:firstLine="0"/>
      <w:pageBreakBefore/>
      <w:shd w:val="pct12" w:color="auto" w:fill="ffffff"/>
      <w:widowControl w:val="off"/>
      <w:tabs>
        <w:tab w:val="num" w:pos="360" w:leader="none"/>
        <w:tab w:val="left" w:pos="1418" w:leader="none"/>
      </w:tabs>
      <w:pBdr>
        <w:bottom w:val="single" w:color="000000" w:sz="18" w:space="1"/>
      </w:pBdr>
    </w:pPr>
    <w:rPr>
      <w:b/>
      <w:sz w:val="28"/>
      <w:lang w:val="en-US" w:eastAsia="en-US"/>
    </w:rPr>
  </w:style>
  <w:style w:type="paragraph" w:styleId="1545" w:customStyle="1">
    <w:name w:val="Appendix 2"/>
    <w:basedOn w:val="1282"/>
    <w:semiHidden/>
    <w:pPr>
      <w:numPr>
        <w:ilvl w:val="0"/>
        <w:numId w:val="0"/>
      </w:numPr>
      <w:spacing w:before="360"/>
      <w:outlineLvl w:val="9"/>
    </w:pPr>
    <w:rPr>
      <w:rFonts w:ascii="Arial" w:hAnsi="Arial" w:cs="Times New Roman"/>
      <w:bCs w:val="0"/>
      <w:iCs w:val="0"/>
      <w:color w:val="0000ff"/>
      <w:szCs w:val="20"/>
    </w:rPr>
  </w:style>
  <w:style w:type="paragraph" w:styleId="1546" w:customStyle="1">
    <w:name w:val="Абзац жирный+курсив"/>
    <w:basedOn w:val="1280"/>
    <w:semiHidden/>
    <w:pPr>
      <w:numPr>
        <w:ilvl w:val="0"/>
        <w:numId w:val="28"/>
      </w:numPr>
      <w:ind w:left="0" w:firstLine="0"/>
      <w:spacing w:line="360" w:lineRule="atLeast"/>
      <w:widowControl w:val="off"/>
      <w:tabs>
        <w:tab w:val="num" w:pos="360" w:leader="none"/>
        <w:tab w:val="clear" w:pos="1428" w:leader="none"/>
      </w:tabs>
    </w:pPr>
  </w:style>
  <w:style w:type="paragraph" w:styleId="1547">
    <w:name w:val="List Paragraph"/>
    <w:basedOn w:val="1280"/>
    <w:link w:val="1707"/>
    <w:uiPriority w:val="34"/>
    <w:qFormat/>
    <w:pPr>
      <w:contextualSpacing/>
      <w:ind w:left="720" w:firstLine="0"/>
      <w:jc w:val="left"/>
    </w:pPr>
    <w:rPr>
      <w:rFonts w:ascii="Calibri" w:hAnsi="Calibri" w:eastAsia="Calibri"/>
      <w:sz w:val="22"/>
      <w:szCs w:val="22"/>
    </w:rPr>
  </w:style>
  <w:style w:type="paragraph" w:styleId="1548" w:customStyle="1">
    <w:name w:val="_ASFK_Titul_name_doc"/>
    <w:semiHidden/>
    <w:pPr>
      <w:contextualSpacing/>
      <w:jc w:val="center"/>
      <w:spacing w:before="200" w:after="400"/>
    </w:pPr>
    <w:rPr>
      <w:b/>
      <w:sz w:val="32"/>
      <w:szCs w:val="28"/>
    </w:rPr>
  </w:style>
  <w:style w:type="character" w:styleId="1549" w:customStyle="1">
    <w:name w:val="_ASFK_Sym_Bold"/>
    <w:semiHidden/>
    <w:rPr>
      <w:b/>
    </w:rPr>
  </w:style>
  <w:style w:type="paragraph" w:styleId="1550" w:customStyle="1">
    <w:name w:val="Normal20"/>
    <w:semiHidden/>
    <w:pPr>
      <w:ind w:left="567"/>
      <w:jc w:val="center"/>
      <w:spacing w:line="360" w:lineRule="auto"/>
      <w:tabs>
        <w:tab w:val="num" w:pos="567" w:leader="none"/>
      </w:tabs>
    </w:pPr>
    <w:rPr>
      <w:b/>
      <w:sz w:val="28"/>
      <w:szCs w:val="28"/>
    </w:rPr>
  </w:style>
  <w:style w:type="character" w:styleId="1551" w:customStyle="1">
    <w:name w:val="Текст сноски Знак"/>
    <w:link w:val="1353"/>
  </w:style>
  <w:style w:type="character" w:styleId="1552" w:customStyle="1">
    <w:name w:val="Нижний колонтитул Знак"/>
    <w:link w:val="1466"/>
    <w:rPr>
      <w:sz w:val="24"/>
    </w:rPr>
  </w:style>
  <w:style w:type="character" w:styleId="1553" w:customStyle="1">
    <w:name w:val="Основной текст 2 Знак"/>
    <w:basedOn w:val="1290"/>
    <w:link w:val="1355"/>
    <w:rPr>
      <w:sz w:val="24"/>
    </w:rPr>
  </w:style>
  <w:style w:type="character" w:styleId="1554" w:customStyle="1">
    <w:name w:val="Основной текст Знак"/>
    <w:basedOn w:val="1290"/>
    <w:link w:val="1441"/>
    <w:rPr>
      <w:sz w:val="24"/>
    </w:rPr>
  </w:style>
  <w:style w:type="paragraph" w:styleId="1555" w:customStyle="1">
    <w:name w:val="_GOST_Table_List_Num 1)"/>
    <w:pPr>
      <w:numPr>
        <w:ilvl w:val="0"/>
        <w:numId w:val="29"/>
      </w:numPr>
      <w:ind w:left="341" w:hanging="284"/>
      <w:tabs>
        <w:tab w:val="clear" w:pos="284" w:leader="none"/>
        <w:tab w:val="left" w:pos="340" w:leader="none"/>
      </w:tabs>
    </w:pPr>
    <w:rPr>
      <w:sz w:val="22"/>
      <w:szCs w:val="22"/>
    </w:rPr>
  </w:style>
  <w:style w:type="paragraph" w:styleId="1556" w:customStyle="1">
    <w:name w:val="_GOST_Table_List_Num абв)"/>
    <w:pPr>
      <w:numPr>
        <w:ilvl w:val="0"/>
        <w:numId w:val="30"/>
      </w:numPr>
      <w:ind w:left="341" w:hanging="284"/>
      <w:tabs>
        <w:tab w:val="clear" w:pos="284" w:leader="none"/>
        <w:tab w:val="left" w:pos="340" w:leader="none"/>
      </w:tabs>
    </w:pPr>
    <w:rPr>
      <w:sz w:val="22"/>
      <w:szCs w:val="22"/>
    </w:rPr>
  </w:style>
  <w:style w:type="character" w:styleId="1557" w:customStyle="1">
    <w:name w:val="Char Style 21"/>
    <w:link w:val="1558"/>
    <w:uiPriority w:val="99"/>
    <w:rPr>
      <w:sz w:val="26"/>
      <w:szCs w:val="26"/>
      <w:shd w:val="clear" w:color="auto" w:fill="ffffff"/>
    </w:rPr>
  </w:style>
  <w:style w:type="paragraph" w:styleId="1558" w:customStyle="1">
    <w:name w:val="Style 20"/>
    <w:basedOn w:val="1280"/>
    <w:link w:val="1557"/>
    <w:uiPriority w:val="99"/>
    <w:pPr>
      <w:ind w:hanging="560"/>
      <w:jc w:val="left"/>
      <w:spacing w:before="1260" w:after="300" w:line="360" w:lineRule="exact"/>
      <w:shd w:val="clear" w:color="auto" w:fill="ffffff"/>
      <w:widowControl w:val="off"/>
    </w:pPr>
    <w:rPr>
      <w:sz w:val="26"/>
      <w:szCs w:val="26"/>
    </w:rPr>
  </w:style>
  <w:style w:type="character" w:styleId="1559" w:customStyle="1">
    <w:name w:val="mw-headline"/>
    <w:basedOn w:val="1290"/>
  </w:style>
  <w:style w:type="character" w:styleId="1560" w:customStyle="1">
    <w:name w:val="template-mark-data2"/>
    <w:basedOn w:val="1290"/>
  </w:style>
  <w:style w:type="character" w:styleId="1561" w:customStyle="1">
    <w:name w:val="_GOST_Table_norm Знак"/>
    <w:link w:val="1316"/>
    <w:qFormat/>
    <w:rPr>
      <w:sz w:val="22"/>
    </w:rPr>
  </w:style>
  <w:style w:type="paragraph" w:styleId="1562" w:customStyle="1">
    <w:name w:val="Обычный (тбл)"/>
    <w:basedOn w:val="1280"/>
    <w:link w:val="1563"/>
    <w:pPr>
      <w:ind w:firstLine="0"/>
      <w:jc w:val="left"/>
      <w:spacing w:before="40" w:after="80"/>
    </w:pPr>
    <w:rPr>
      <w:bCs/>
      <w:szCs w:val="18"/>
    </w:rPr>
  </w:style>
  <w:style w:type="character" w:styleId="1563" w:customStyle="1">
    <w:name w:val="Обычный (тбл) Знак"/>
    <w:link w:val="1562"/>
    <w:rPr>
      <w:bCs/>
      <w:sz w:val="24"/>
      <w:szCs w:val="18"/>
    </w:rPr>
  </w:style>
  <w:style w:type="character" w:styleId="1564" w:customStyle="1">
    <w:name w:val="apple-converted-space"/>
    <w:basedOn w:val="1290"/>
  </w:style>
  <w:style w:type="character" w:styleId="1565" w:customStyle="1">
    <w:name w:val="Верхний колонтитул Знак"/>
    <w:link w:val="1300"/>
    <w:rPr>
      <w:sz w:val="24"/>
    </w:rPr>
  </w:style>
  <w:style w:type="paragraph" w:styleId="1566" w:customStyle="1">
    <w:name w:val="КомментарийГОСТСписок"/>
    <w:basedOn w:val="1280"/>
    <w:pPr>
      <w:numPr>
        <w:ilvl w:val="0"/>
        <w:numId w:val="31"/>
      </w:numPr>
      <w:spacing w:before="120" w:after="120"/>
    </w:pPr>
    <w:rPr>
      <w:color w:val="800000"/>
      <w:szCs w:val="24"/>
    </w:rPr>
  </w:style>
  <w:style w:type="paragraph" w:styleId="1567" w:customStyle="1">
    <w:name w:val="Название таблицы"/>
    <w:basedOn w:val="1280"/>
    <w:next w:val="1280"/>
    <w:qFormat/>
    <w:pPr>
      <w:ind w:firstLine="0"/>
      <w:keepLines/>
      <w:keepNext/>
      <w:spacing w:before="120" w:after="120"/>
    </w:pPr>
    <w:rPr>
      <w:sz w:val="28"/>
      <w:szCs w:val="24"/>
    </w:rPr>
  </w:style>
  <w:style w:type="paragraph" w:styleId="1568" w:customStyle="1">
    <w:name w:val="Шапка таблицы"/>
    <w:basedOn w:val="1562"/>
    <w:link w:val="1569"/>
    <w:qFormat/>
    <w:pPr>
      <w:keepNext/>
      <w:spacing w:before="60"/>
    </w:pPr>
    <w:rPr>
      <w:b/>
    </w:rPr>
  </w:style>
  <w:style w:type="character" w:styleId="1569" w:customStyle="1">
    <w:name w:val="Шапка таблицы Знак"/>
    <w:link w:val="1568"/>
    <w:rPr>
      <w:b/>
      <w:bCs/>
      <w:sz w:val="24"/>
      <w:szCs w:val="18"/>
    </w:rPr>
  </w:style>
  <w:style w:type="paragraph" w:styleId="1570" w:customStyle="1">
    <w:name w:val="Примечание"/>
    <w:basedOn w:val="1280"/>
    <w:next w:val="1280"/>
    <w:pPr>
      <w:ind w:firstLine="0"/>
      <w:keepNext/>
      <w:spacing w:before="60" w:after="120"/>
    </w:pPr>
    <w:rPr>
      <w:rFonts w:cs="Arial"/>
      <w:b/>
      <w:bCs/>
      <w:sz w:val="28"/>
      <w:szCs w:val="22"/>
    </w:rPr>
  </w:style>
  <w:style w:type="paragraph" w:styleId="1571" w:customStyle="1">
    <w:name w:val="Объект"/>
    <w:basedOn w:val="1280"/>
    <w:next w:val="1280"/>
    <w:pPr>
      <w:ind w:firstLine="0"/>
      <w:jc w:val="left"/>
      <w:keepNext/>
      <w:spacing w:before="200" w:after="240"/>
    </w:pPr>
    <w:rPr>
      <w:szCs w:val="24"/>
    </w:rPr>
  </w:style>
  <w:style w:type="paragraph" w:styleId="1572" w:customStyle="1">
    <w:name w:val="ТЗ0 основной"/>
    <w:basedOn w:val="1280"/>
    <w:link w:val="1573"/>
    <w:uiPriority w:val="99"/>
    <w:qFormat/>
    <w:pPr>
      <w:spacing w:before="60" w:after="60" w:line="360" w:lineRule="auto"/>
    </w:pPr>
    <w:rPr>
      <w:bCs/>
      <w:color w:val="000000"/>
      <w:spacing w:val="-1"/>
      <w:sz w:val="28"/>
      <w:szCs w:val="26"/>
      <w:lang w:eastAsia="zh-CN"/>
    </w:rPr>
  </w:style>
  <w:style w:type="character" w:styleId="1573" w:customStyle="1">
    <w:name w:val="ТЗ0 основной Знак"/>
    <w:link w:val="1572"/>
    <w:uiPriority w:val="99"/>
    <w:rPr>
      <w:bCs/>
      <w:color w:val="000000"/>
      <w:spacing w:val="-1"/>
      <w:sz w:val="28"/>
      <w:szCs w:val="26"/>
      <w:lang w:eastAsia="zh-CN"/>
    </w:rPr>
  </w:style>
  <w:style w:type="paragraph" w:styleId="1574" w:customStyle="1">
    <w:name w:val="Маркированный список (тбл)"/>
    <w:basedOn w:val="1280"/>
    <w:link w:val="1576"/>
    <w:pPr>
      <w:ind w:left="57" w:right="57" w:firstLine="0"/>
      <w:jc w:val="left"/>
      <w:spacing w:before="40" w:after="80"/>
    </w:pPr>
    <w:rPr>
      <w:b/>
      <w:bCs/>
      <w:szCs w:val="18"/>
    </w:rPr>
  </w:style>
  <w:style w:type="paragraph" w:styleId="1575" w:customStyle="1">
    <w:name w:val="Стиль Название таблицы + По центру"/>
    <w:basedOn w:val="1567"/>
    <w:pPr>
      <w:jc w:val="left"/>
    </w:pPr>
    <w:rPr>
      <w:szCs w:val="20"/>
    </w:rPr>
  </w:style>
  <w:style w:type="character" w:styleId="1576" w:customStyle="1">
    <w:name w:val="Маркированный список (тбл) Знак"/>
    <w:link w:val="1574"/>
    <w:rPr>
      <w:b/>
      <w:bCs/>
      <w:sz w:val="24"/>
      <w:szCs w:val="18"/>
    </w:rPr>
  </w:style>
  <w:style w:type="paragraph" w:styleId="1577" w:customStyle="1">
    <w:name w:val="Стиль Заголовок 5"/>
    <w:basedOn w:val="1285"/>
    <w:pPr>
      <w:contextualSpacing w:val="0"/>
      <w:ind w:left="1" w:firstLine="850"/>
      <w:tabs>
        <w:tab w:val="left" w:pos="1" w:leader="none"/>
        <w:tab w:val="left" w:pos="284" w:leader="none"/>
        <w:tab w:val="left" w:pos="851" w:leader="none"/>
        <w:tab w:val="clear" w:pos="1276" w:leader="none"/>
        <w:tab w:val="left" w:pos="1418" w:leader="none"/>
        <w:tab w:val="left" w:pos="1701" w:leader="none"/>
        <w:tab w:val="left" w:pos="1985" w:leader="none"/>
      </w:tabs>
    </w:pPr>
    <w:rPr>
      <w:bCs w:val="0"/>
      <w:sz w:val="28"/>
      <w:szCs w:val="28"/>
      <w:lang w:eastAsia="ru-RU"/>
    </w:rPr>
  </w:style>
  <w:style w:type="paragraph" w:styleId="1578" w:customStyle="1">
    <w:name w:val="Стиль Заголовок 6"/>
    <w:basedOn w:val="1286"/>
    <w:pPr>
      <w:numPr>
        <w:ilvl w:val="0"/>
        <w:numId w:val="22"/>
      </w:numPr>
      <w:ind w:left="1" w:hanging="1"/>
      <w:tabs>
        <w:tab w:val="left" w:pos="1" w:leader="none"/>
        <w:tab w:val="left" w:pos="284" w:leader="none"/>
        <w:tab w:val="left" w:pos="568" w:leader="none"/>
        <w:tab w:val="left" w:pos="851" w:leader="none"/>
        <w:tab w:val="clear" w:pos="868" w:leader="none"/>
        <w:tab w:val="num" w:pos="949" w:leader="none"/>
        <w:tab w:val="left" w:pos="1134" w:leader="none"/>
        <w:tab w:val="left" w:pos="1701" w:leader="none"/>
        <w:tab w:val="left" w:pos="1985" w:leader="none"/>
      </w:tabs>
    </w:pPr>
    <w:rPr>
      <w:b w:val="0"/>
      <w:bCs/>
      <w:sz w:val="28"/>
    </w:rPr>
  </w:style>
  <w:style w:type="paragraph" w:styleId="1579" w:customStyle="1">
    <w:name w:val="Обычный (Web)"/>
    <w:basedOn w:val="1280"/>
    <w:pPr>
      <w:ind w:firstLine="709"/>
      <w:spacing w:before="100" w:after="100"/>
    </w:pPr>
    <w:rPr>
      <w:sz w:val="28"/>
    </w:rPr>
  </w:style>
  <w:style w:type="paragraph" w:styleId="1580" w:customStyle="1">
    <w:name w:val="OTR_Header_Center"/>
    <w:basedOn w:val="1582"/>
    <w:semiHidden/>
    <w:pPr>
      <w:jc w:val="center"/>
    </w:pPr>
  </w:style>
  <w:style w:type="paragraph" w:styleId="1581" w:customStyle="1">
    <w:name w:val="OTR_Header_Right"/>
    <w:basedOn w:val="1280"/>
    <w:semiHidden/>
    <w:pPr>
      <w:spacing w:before="120" w:after="120"/>
    </w:pPr>
    <w:rPr>
      <w:rFonts w:ascii="Arial" w:hAnsi="Arial"/>
      <w:b/>
      <w:sz w:val="20"/>
    </w:rPr>
  </w:style>
  <w:style w:type="paragraph" w:styleId="1582" w:customStyle="1">
    <w:name w:val="OTR_Header"/>
    <w:pPr>
      <w:ind w:left="21"/>
    </w:pPr>
    <w:rPr>
      <w:rFonts w:ascii="Arial" w:hAnsi="Arial" w:cs="Arial"/>
      <w:b/>
      <w:bCs/>
    </w:rPr>
  </w:style>
  <w:style w:type="paragraph" w:styleId="1583" w:customStyle="1">
    <w:name w:val="OTR_Table_Head"/>
    <w:basedOn w:val="1280"/>
    <w:link w:val="1584"/>
    <w:qFormat/>
    <w:pPr>
      <w:jc w:val="center"/>
      <w:keepNext/>
      <w:spacing w:before="60" w:after="60"/>
    </w:pPr>
    <w:rPr>
      <w:b/>
      <w:sz w:val="28"/>
    </w:rPr>
  </w:style>
  <w:style w:type="character" w:styleId="1584" w:customStyle="1">
    <w:name w:val="OTR_Table_Head Знак"/>
    <w:link w:val="1583"/>
    <w:rPr>
      <w:b/>
      <w:sz w:val="28"/>
    </w:rPr>
  </w:style>
  <w:style w:type="paragraph" w:styleId="1585" w:customStyle="1">
    <w:name w:val="OTR_Normal"/>
    <w:basedOn w:val="1280"/>
    <w:link w:val="1586"/>
    <w:qFormat/>
    <w:pPr>
      <w:spacing w:before="60" w:after="120"/>
    </w:pPr>
    <w:rPr>
      <w:sz w:val="28"/>
    </w:rPr>
  </w:style>
  <w:style w:type="character" w:styleId="1586" w:customStyle="1">
    <w:name w:val="OTR_Normal Знак"/>
    <w:link w:val="1585"/>
    <w:qFormat/>
    <w:rPr>
      <w:sz w:val="28"/>
    </w:rPr>
  </w:style>
  <w:style w:type="character" w:styleId="1587" w:customStyle="1">
    <w:name w:val="WW8Num4z4"/>
  </w:style>
  <w:style w:type="character" w:styleId="1588" w:customStyle="1">
    <w:name w:val="docinfolabel"/>
  </w:style>
  <w:style w:type="character" w:styleId="1589" w:customStyle="1">
    <w:name w:val="z-label"/>
  </w:style>
  <w:style w:type="paragraph" w:styleId="1590" w:customStyle="1">
    <w:name w:val="ЕПБС_Обычный"/>
    <w:basedOn w:val="1280"/>
    <w:pPr>
      <w:ind w:firstLine="357"/>
      <w:spacing w:before="120" w:after="120" w:line="360" w:lineRule="exact"/>
    </w:pPr>
    <w:rPr>
      <w:sz w:val="28"/>
      <w:szCs w:val="24"/>
      <w:lang w:eastAsia="zh-CN"/>
    </w:rPr>
  </w:style>
  <w:style w:type="character" w:styleId="1591" w:customStyle="1">
    <w:name w:val="Заголовок 6 Знак"/>
    <w:link w:val="1286"/>
    <w:rPr>
      <w:b/>
      <w:i/>
      <w:sz w:val="24"/>
      <w:szCs w:val="22"/>
      <w:lang w:eastAsia="ko-KR"/>
    </w:rPr>
  </w:style>
  <w:style w:type="character" w:styleId="1592" w:customStyle="1">
    <w:name w:val="Заголовок 8 Знак"/>
    <w:link w:val="1288"/>
    <w:rPr>
      <w:i/>
      <w:iCs/>
      <w:sz w:val="24"/>
    </w:rPr>
  </w:style>
  <w:style w:type="character" w:styleId="1593" w:customStyle="1">
    <w:name w:val="Заголовок 9 Знак"/>
    <w:link w:val="1289"/>
    <w:rPr>
      <w:rFonts w:ascii="Arial" w:hAnsi="Arial"/>
      <w:sz w:val="22"/>
      <w:szCs w:val="22"/>
    </w:rPr>
  </w:style>
  <w:style w:type="character" w:styleId="1594" w:customStyle="1">
    <w:name w:val="Заголовок 1 Знак"/>
    <w:link w:val="1281"/>
    <w:rPr>
      <w:b/>
      <w:caps/>
      <w:sz w:val="32"/>
      <w:szCs w:val="36"/>
    </w:rPr>
  </w:style>
  <w:style w:type="character" w:styleId="1595" w:customStyle="1">
    <w:name w:val="Заголовок 2 Знак"/>
    <w:link w:val="1282"/>
    <w:rPr>
      <w:rFonts w:cs="Arial"/>
      <w:b/>
      <w:bCs/>
      <w:iCs/>
      <w:sz w:val="32"/>
      <w:szCs w:val="32"/>
    </w:rPr>
  </w:style>
  <w:style w:type="character" w:styleId="1596" w:customStyle="1">
    <w:name w:val="Заголовок 3 Знак"/>
    <w:link w:val="1283"/>
    <w:rPr>
      <w:rFonts w:cs="Arial"/>
      <w:b/>
      <w:iCs/>
      <w:sz w:val="26"/>
      <w:szCs w:val="26"/>
    </w:rPr>
  </w:style>
  <w:style w:type="character" w:styleId="1597" w:customStyle="1">
    <w:name w:val="Заголовок 4 Знак"/>
    <w:link w:val="1284"/>
    <w:rPr>
      <w:rFonts w:cs="Arial"/>
      <w:b/>
      <w:iCs/>
      <w:sz w:val="24"/>
      <w:szCs w:val="26"/>
    </w:rPr>
  </w:style>
  <w:style w:type="character" w:styleId="1598" w:customStyle="1">
    <w:name w:val="Заголовок 5 Знак"/>
    <w:link w:val="1285"/>
    <w:rPr>
      <w:b/>
      <w:bCs/>
      <w:sz w:val="24"/>
      <w:szCs w:val="26"/>
      <w:lang w:eastAsia="ko-KR"/>
    </w:rPr>
  </w:style>
  <w:style w:type="character" w:styleId="1599" w:customStyle="1">
    <w:name w:val="Заголовок 7 Знак"/>
    <w:link w:val="1287"/>
    <w:rPr>
      <w:sz w:val="24"/>
    </w:rPr>
  </w:style>
  <w:style w:type="paragraph" w:styleId="1600" w:customStyle="1">
    <w:name w:val="Цветной список - Акцент 11"/>
    <w:basedOn w:val="1280"/>
    <w:link w:val="1601"/>
    <w:uiPriority w:val="34"/>
    <w:pPr>
      <w:contextualSpacing/>
      <w:ind w:left="513" w:hanging="360"/>
      <w:spacing w:before="100" w:beforeAutospacing="1" w:after="100" w:afterAutospacing="1" w:line="288" w:lineRule="auto"/>
    </w:pPr>
    <w:rPr>
      <w:sz w:val="28"/>
      <w:szCs w:val="24"/>
      <w:lang w:val="en-US"/>
    </w:rPr>
  </w:style>
  <w:style w:type="character" w:styleId="1601" w:customStyle="1">
    <w:name w:val="Цветной список - Акцент 1 Знак"/>
    <w:link w:val="1600"/>
    <w:uiPriority w:val="34"/>
    <w:rPr>
      <w:sz w:val="28"/>
      <w:szCs w:val="24"/>
      <w:lang w:val="en-US"/>
    </w:rPr>
  </w:style>
  <w:style w:type="paragraph" w:styleId="1602" w:customStyle="1">
    <w:name w:val="Заголовок 1 без номера"/>
    <w:basedOn w:val="1281"/>
    <w:link w:val="1603"/>
    <w:pPr>
      <w:numPr>
        <w:ilvl w:val="0"/>
        <w:numId w:val="0"/>
      </w:numPr>
      <w:contextualSpacing w:val="0"/>
      <w:ind w:firstLine="709"/>
      <w:keepLines/>
      <w:spacing w:after="240"/>
      <w:tabs>
        <w:tab w:val="left" w:pos="1" w:leader="none"/>
        <w:tab w:val="left" w:pos="284" w:leader="none"/>
        <w:tab w:val="left" w:pos="851" w:leader="none"/>
        <w:tab w:val="left" w:pos="1418" w:leader="none"/>
        <w:tab w:val="left" w:pos="1701" w:leader="none"/>
        <w:tab w:val="left" w:pos="1985" w:leader="none"/>
      </w:tabs>
      <w:outlineLvl w:val="9"/>
    </w:pPr>
    <w:rPr>
      <w:szCs w:val="28"/>
      <w:lang w:val="en-US"/>
    </w:rPr>
  </w:style>
  <w:style w:type="character" w:styleId="1603" w:customStyle="1">
    <w:name w:val="Заголовок 1 без номера Знак"/>
    <w:link w:val="1602"/>
    <w:rPr>
      <w:b/>
      <w:caps/>
      <w:sz w:val="32"/>
      <w:szCs w:val="28"/>
      <w:lang w:val="en-US"/>
    </w:rPr>
  </w:style>
  <w:style w:type="character" w:styleId="1604" w:customStyle="1">
    <w:name w:val="0 акцент_курсив"/>
    <w:uiPriority w:val="1"/>
    <w:rPr>
      <w:rFonts w:ascii="Times New Roman" w:hAnsi="Times New Roman"/>
      <w:i/>
      <w:sz w:val="24"/>
    </w:rPr>
  </w:style>
  <w:style w:type="character" w:styleId="1605" w:customStyle="1">
    <w:name w:val="0 акцент_подчеркивание"/>
    <w:uiPriority w:val="1"/>
    <w:rPr>
      <w:rFonts w:ascii="Times New Roman" w:hAnsi="Times New Roman"/>
      <w:sz w:val="24"/>
      <w:u w:val="single"/>
    </w:rPr>
  </w:style>
  <w:style w:type="character" w:styleId="1606" w:customStyle="1">
    <w:name w:val="0 акцент_полужирный"/>
    <w:uiPriority w:val="1"/>
    <w:rPr>
      <w:rFonts w:ascii="Times New Roman" w:hAnsi="Times New Roman"/>
      <w:b/>
      <w:sz w:val="24"/>
    </w:rPr>
  </w:style>
  <w:style w:type="character" w:styleId="1607" w:customStyle="1">
    <w:name w:val="0 белый фон"/>
    <w:uiPriority w:val="1"/>
    <w:rPr>
      <w:rFonts w:ascii="Times New Roman" w:hAnsi="Times New Roman"/>
      <w:color w:val="ffffff"/>
      <w:sz w:val="24"/>
    </w:rPr>
  </w:style>
  <w:style w:type="paragraph" w:styleId="1608" w:customStyle="1">
    <w:name w:val="0 Заголовок (как Аннотация)"/>
    <w:next w:val="1280"/>
    <w:uiPriority w:val="1"/>
    <w:pPr>
      <w:jc w:val="center"/>
      <w:pageBreakBefore/>
      <w:spacing w:line="360" w:lineRule="auto"/>
    </w:pPr>
    <w:rPr>
      <w:b/>
      <w:color w:val="000000"/>
      <w:sz w:val="32"/>
      <w:szCs w:val="24"/>
    </w:rPr>
  </w:style>
  <w:style w:type="paragraph" w:styleId="1609" w:customStyle="1">
    <w:name w:val="0 Заголовок (как Перечень)"/>
    <w:next w:val="1280"/>
    <w:uiPriority w:val="1"/>
    <w:pPr>
      <w:jc w:val="center"/>
      <w:pageBreakBefore/>
      <w:spacing w:line="360" w:lineRule="auto"/>
      <w:outlineLvl w:val="0"/>
    </w:pPr>
    <w:rPr>
      <w:b/>
      <w:color w:val="000000"/>
      <w:sz w:val="32"/>
      <w:szCs w:val="24"/>
    </w:rPr>
  </w:style>
  <w:style w:type="paragraph" w:styleId="1610" w:customStyle="1">
    <w:name w:val="0 Заголовок 1 ур"/>
    <w:next w:val="1280"/>
    <w:qFormat/>
    <w:pPr>
      <w:jc w:val="both"/>
      <w:keepLines/>
      <w:keepNext/>
      <w:pageBreakBefore/>
      <w:spacing w:line="360" w:lineRule="auto"/>
      <w:tabs>
        <w:tab w:val="left" w:pos="1418" w:leader="none"/>
      </w:tabs>
      <w:outlineLvl w:val="0"/>
    </w:pPr>
    <w:rPr>
      <w:b/>
      <w:color w:val="000000"/>
      <w:sz w:val="32"/>
      <w:szCs w:val="24"/>
    </w:rPr>
  </w:style>
  <w:style w:type="paragraph" w:styleId="1611" w:customStyle="1">
    <w:name w:val="0 Заголовок 2 ур"/>
    <w:next w:val="1280"/>
    <w:pPr>
      <w:jc w:val="both"/>
      <w:keepLines/>
      <w:keepNext/>
      <w:spacing w:before="120" w:line="360" w:lineRule="auto"/>
      <w:tabs>
        <w:tab w:val="left" w:pos="1418" w:leader="none"/>
      </w:tabs>
      <w:outlineLvl w:val="1"/>
    </w:pPr>
    <w:rPr>
      <w:b/>
      <w:color w:val="000000"/>
      <w:sz w:val="28"/>
      <w:szCs w:val="24"/>
    </w:rPr>
  </w:style>
  <w:style w:type="paragraph" w:styleId="1612" w:customStyle="1">
    <w:name w:val="0 Заголовок 3 ур"/>
    <w:next w:val="1280"/>
    <w:pPr>
      <w:jc w:val="both"/>
      <w:keepLines/>
      <w:spacing w:before="120" w:line="360" w:lineRule="auto"/>
      <w:tabs>
        <w:tab w:val="left" w:pos="1418" w:leader="none"/>
        <w:tab w:val="left" w:pos="1843" w:leader="none"/>
      </w:tabs>
      <w:outlineLvl w:val="2"/>
    </w:pPr>
    <w:rPr>
      <w:b/>
      <w:color w:val="000000"/>
      <w:sz w:val="28"/>
      <w:szCs w:val="24"/>
    </w:rPr>
  </w:style>
  <w:style w:type="paragraph" w:styleId="1613" w:customStyle="1">
    <w:name w:val="0 Заголовок 4 ур"/>
    <w:next w:val="1280"/>
    <w:pPr>
      <w:ind w:left="709"/>
      <w:jc w:val="both"/>
      <w:keepLines/>
      <w:keepNext/>
      <w:spacing w:before="120" w:line="360" w:lineRule="auto"/>
      <w:tabs>
        <w:tab w:val="num" w:pos="709" w:leader="none"/>
        <w:tab w:val="left" w:pos="1843" w:leader="none"/>
        <w:tab w:val="left" w:pos="2126" w:leader="none"/>
      </w:tabs>
      <w:outlineLvl w:val="3"/>
    </w:pPr>
    <w:rPr>
      <w:color w:val="000000"/>
      <w:sz w:val="28"/>
      <w:szCs w:val="24"/>
    </w:rPr>
  </w:style>
  <w:style w:type="paragraph" w:styleId="1614" w:customStyle="1">
    <w:name w:val="0 Заголовок 4 ур не нумер"/>
    <w:basedOn w:val="1613"/>
    <w:next w:val="1280"/>
    <w:pPr>
      <w:ind w:left="0"/>
      <w:tabs>
        <w:tab w:val="clear" w:pos="709" w:leader="none"/>
      </w:tabs>
      <w:outlineLvl w:val="9"/>
    </w:pPr>
  </w:style>
  <w:style w:type="paragraph" w:styleId="1615" w:customStyle="1">
    <w:name w:val="0 Заголовок 5 ур (не по ГОСТ)"/>
    <w:next w:val="1280"/>
    <w:pPr>
      <w:keepLines/>
      <w:keepNext/>
      <w:spacing w:before="120" w:line="360" w:lineRule="auto"/>
      <w:tabs>
        <w:tab w:val="left" w:pos="1843" w:leader="none"/>
        <w:tab w:val="left" w:pos="2126" w:leader="none"/>
        <w:tab w:val="left" w:pos="2410" w:leader="none"/>
      </w:tabs>
    </w:pPr>
    <w:rPr>
      <w:b/>
      <w:color w:val="000000"/>
      <w:sz w:val="24"/>
      <w:szCs w:val="24"/>
    </w:rPr>
  </w:style>
  <w:style w:type="paragraph" w:styleId="1616" w:customStyle="1">
    <w:name w:val="0 Заголовок 6 ур (не по ГОСТ)"/>
    <w:next w:val="1280"/>
    <w:pPr>
      <w:keepLines/>
      <w:keepNext/>
      <w:spacing w:before="120" w:line="360" w:lineRule="auto"/>
      <w:tabs>
        <w:tab w:val="left" w:pos="1843" w:leader="none"/>
        <w:tab w:val="left" w:pos="2126" w:leader="none"/>
        <w:tab w:val="left" w:pos="2410" w:leader="none"/>
      </w:tabs>
    </w:pPr>
    <w:rPr>
      <w:b/>
      <w:color w:val="000000"/>
      <w:sz w:val="24"/>
      <w:szCs w:val="24"/>
    </w:rPr>
  </w:style>
  <w:style w:type="character" w:styleId="1617" w:customStyle="1">
    <w:name w:val="0 Надстрочный текст"/>
    <w:uiPriority w:val="1"/>
    <w:rPr>
      <w:rFonts w:ascii="Times New Roman" w:hAnsi="Times New Roman"/>
      <w:sz w:val="24"/>
      <w:vertAlign w:val="superscript"/>
    </w:rPr>
  </w:style>
  <w:style w:type="paragraph" w:styleId="1618" w:customStyle="1">
    <w:name w:val="0 Основной текст"/>
    <w:link w:val="2015"/>
    <w:uiPriority w:val="99"/>
    <w:qFormat/>
    <w:pPr>
      <w:contextualSpacing/>
      <w:ind w:firstLine="709"/>
      <w:jc w:val="both"/>
      <w:spacing w:before="120" w:line="360" w:lineRule="auto"/>
    </w:pPr>
    <w:rPr>
      <w:color w:val="000000"/>
      <w:sz w:val="28"/>
      <w:szCs w:val="24"/>
    </w:rPr>
  </w:style>
  <w:style w:type="paragraph" w:styleId="1619" w:customStyle="1">
    <w:name w:val="0 Прил Заголовок 1 ур"/>
    <w:next w:val="1618"/>
    <w:pPr>
      <w:numPr>
        <w:ilvl w:val="0"/>
        <w:numId w:val="32"/>
      </w:numPr>
      <w:jc w:val="center"/>
      <w:pageBreakBefore/>
      <w:spacing w:line="360" w:lineRule="auto"/>
      <w:outlineLvl w:val="0"/>
    </w:pPr>
    <w:rPr>
      <w:b/>
      <w:color w:val="000000"/>
      <w:sz w:val="32"/>
      <w:szCs w:val="24"/>
    </w:rPr>
  </w:style>
  <w:style w:type="paragraph" w:styleId="1620" w:customStyle="1">
    <w:name w:val="0 Прил Заголовок 2 ур"/>
    <w:next w:val="1618"/>
    <w:pPr>
      <w:numPr>
        <w:ilvl w:val="1"/>
        <w:numId w:val="32"/>
      </w:numPr>
      <w:spacing w:before="120" w:line="360" w:lineRule="auto"/>
      <w:tabs>
        <w:tab w:val="left" w:pos="1418" w:leader="none"/>
      </w:tabs>
      <w:outlineLvl w:val="1"/>
    </w:pPr>
    <w:rPr>
      <w:b/>
      <w:color w:val="000000"/>
      <w:sz w:val="28"/>
      <w:szCs w:val="24"/>
    </w:rPr>
  </w:style>
  <w:style w:type="paragraph" w:styleId="1621" w:customStyle="1">
    <w:name w:val="0 Прил Заголовок 3 ур"/>
    <w:basedOn w:val="1620"/>
    <w:next w:val="1280"/>
    <w:pPr>
      <w:numPr>
        <w:ilvl w:val="2"/>
      </w:numPr>
      <w:tabs>
        <w:tab w:val="left" w:pos="1843" w:leader="none"/>
      </w:tabs>
      <w:outlineLvl w:val="2"/>
    </w:pPr>
    <w:rPr>
      <w:sz w:val="24"/>
    </w:rPr>
  </w:style>
  <w:style w:type="paragraph" w:styleId="1622" w:customStyle="1">
    <w:name w:val="0 Прил Заголовок 4 ур"/>
    <w:next w:val="1618"/>
    <w:pPr>
      <w:numPr>
        <w:ilvl w:val="3"/>
        <w:numId w:val="32"/>
      </w:numPr>
      <w:spacing w:before="120"/>
      <w:tabs>
        <w:tab w:val="left" w:pos="1843" w:leader="none"/>
        <w:tab w:val="left" w:pos="2126" w:leader="none"/>
      </w:tabs>
      <w:outlineLvl w:val="3"/>
    </w:pPr>
    <w:rPr>
      <w:b/>
      <w:color w:val="000000"/>
      <w:sz w:val="24"/>
      <w:szCs w:val="24"/>
    </w:rPr>
  </w:style>
  <w:style w:type="paragraph" w:styleId="1623" w:customStyle="1">
    <w:name w:val="0 Прил Заголовок 5 ур (не по ГОСТ)"/>
    <w:next w:val="1618"/>
    <w:pPr>
      <w:numPr>
        <w:ilvl w:val="4"/>
        <w:numId w:val="32"/>
      </w:numPr>
      <w:keepLines/>
      <w:keepNext/>
      <w:spacing w:before="120" w:line="360" w:lineRule="auto"/>
      <w:tabs>
        <w:tab w:val="left" w:pos="2126" w:leader="none"/>
      </w:tabs>
      <w:outlineLvl w:val="4"/>
    </w:pPr>
    <w:rPr>
      <w:b/>
      <w:color w:val="000000"/>
      <w:sz w:val="24"/>
      <w:szCs w:val="24"/>
    </w:rPr>
  </w:style>
  <w:style w:type="paragraph" w:styleId="1624" w:customStyle="1">
    <w:name w:val="0 Прил Заголовок 6 ур (не по ГОСТ)"/>
    <w:next w:val="1618"/>
    <w:pPr>
      <w:numPr>
        <w:ilvl w:val="5"/>
        <w:numId w:val="32"/>
      </w:numPr>
      <w:keepLines/>
      <w:keepNext/>
      <w:spacing w:before="120" w:line="360" w:lineRule="auto"/>
      <w:tabs>
        <w:tab w:val="left" w:pos="2126" w:leader="none"/>
      </w:tabs>
      <w:outlineLvl w:val="5"/>
    </w:pPr>
    <w:rPr>
      <w:b/>
      <w:color w:val="000000"/>
      <w:sz w:val="24"/>
      <w:szCs w:val="24"/>
    </w:rPr>
  </w:style>
  <w:style w:type="paragraph" w:styleId="1625" w:customStyle="1">
    <w:name w:val="0 Рисунок  Тело"/>
    <w:next w:val="1280"/>
    <w:pPr>
      <w:jc w:val="center"/>
      <w:keepNext/>
      <w:spacing w:before="120"/>
    </w:pPr>
    <w:rPr>
      <w:color w:val="000000"/>
      <w:sz w:val="24"/>
      <w:szCs w:val="24"/>
    </w:rPr>
  </w:style>
  <w:style w:type="paragraph" w:styleId="1626" w:customStyle="1">
    <w:name w:val="0 Рисунок Подпись"/>
    <w:next w:val="1618"/>
    <w:pPr>
      <w:contextualSpacing/>
      <w:jc w:val="center"/>
      <w:spacing w:after="240"/>
    </w:pPr>
    <w:rPr>
      <w:color w:val="000000"/>
      <w:sz w:val="24"/>
      <w:szCs w:val="24"/>
    </w:rPr>
  </w:style>
  <w:style w:type="paragraph" w:styleId="1627" w:customStyle="1">
    <w:name w:val="0 Список 1 ур"/>
    <w:uiPriority w:val="99"/>
    <w:qFormat/>
    <w:pPr>
      <w:numPr>
        <w:ilvl w:val="0"/>
        <w:numId w:val="33"/>
      </w:numPr>
      <w:jc w:val="both"/>
      <w:spacing w:line="360" w:lineRule="auto"/>
    </w:pPr>
    <w:rPr>
      <w:color w:val="000000"/>
      <w:sz w:val="28"/>
      <w:szCs w:val="24"/>
    </w:rPr>
  </w:style>
  <w:style w:type="paragraph" w:styleId="1628" w:customStyle="1">
    <w:name w:val="0 Список 2 ур"/>
    <w:uiPriority w:val="99"/>
    <w:qFormat/>
    <w:pPr>
      <w:numPr>
        <w:ilvl w:val="1"/>
        <w:numId w:val="33"/>
      </w:numPr>
      <w:jc w:val="both"/>
      <w:spacing w:line="360" w:lineRule="auto"/>
    </w:pPr>
    <w:rPr>
      <w:color w:val="000000"/>
      <w:sz w:val="24"/>
      <w:szCs w:val="24"/>
    </w:rPr>
  </w:style>
  <w:style w:type="paragraph" w:styleId="1629" w:customStyle="1">
    <w:name w:val="0 Список 3 ур"/>
    <w:uiPriority w:val="99"/>
    <w:qFormat/>
    <w:pPr>
      <w:numPr>
        <w:ilvl w:val="2"/>
        <w:numId w:val="33"/>
      </w:numPr>
      <w:jc w:val="both"/>
      <w:spacing w:line="360" w:lineRule="auto"/>
    </w:pPr>
    <w:rPr>
      <w:color w:val="000000"/>
      <w:sz w:val="24"/>
      <w:szCs w:val="24"/>
    </w:rPr>
  </w:style>
  <w:style w:type="paragraph" w:styleId="1630" w:customStyle="1">
    <w:name w:val="0 Список 4 ур"/>
    <w:uiPriority w:val="99"/>
    <w:qFormat/>
    <w:pPr>
      <w:numPr>
        <w:ilvl w:val="3"/>
        <w:numId w:val="33"/>
      </w:numPr>
      <w:jc w:val="both"/>
      <w:spacing w:line="360" w:lineRule="auto"/>
    </w:pPr>
    <w:rPr>
      <w:color w:val="000000"/>
      <w:sz w:val="24"/>
      <w:szCs w:val="24"/>
    </w:rPr>
  </w:style>
  <w:style w:type="paragraph" w:styleId="1631" w:customStyle="1">
    <w:name w:val="0 Список 5 ур"/>
    <w:uiPriority w:val="99"/>
    <w:qFormat/>
    <w:pPr>
      <w:numPr>
        <w:ilvl w:val="4"/>
        <w:numId w:val="33"/>
      </w:numPr>
      <w:jc w:val="both"/>
      <w:spacing w:line="360" w:lineRule="auto"/>
    </w:pPr>
    <w:rPr>
      <w:color w:val="000000"/>
      <w:sz w:val="24"/>
      <w:szCs w:val="24"/>
    </w:rPr>
  </w:style>
  <w:style w:type="paragraph" w:styleId="1632" w:customStyle="1">
    <w:name w:val="0 Список 6 ур"/>
    <w:uiPriority w:val="99"/>
    <w:qFormat/>
    <w:pPr>
      <w:numPr>
        <w:ilvl w:val="5"/>
        <w:numId w:val="33"/>
      </w:numPr>
      <w:jc w:val="both"/>
      <w:spacing w:line="360" w:lineRule="auto"/>
    </w:pPr>
    <w:rPr>
      <w:color w:val="000000"/>
      <w:sz w:val="24"/>
      <w:szCs w:val="24"/>
    </w:rPr>
  </w:style>
  <w:style w:type="paragraph" w:styleId="1633" w:customStyle="1">
    <w:name w:val="0 Список 7 ур"/>
    <w:basedOn w:val="1632"/>
    <w:pPr>
      <w:numPr>
        <w:ilvl w:val="0"/>
        <w:numId w:val="0"/>
      </w:numPr>
    </w:pPr>
  </w:style>
  <w:style w:type="paragraph" w:styleId="1634" w:customStyle="1">
    <w:name w:val="0 Список 8 ур"/>
    <w:basedOn w:val="1633"/>
  </w:style>
  <w:style w:type="paragraph" w:styleId="1635" w:customStyle="1">
    <w:name w:val="0 Список без нумер 1 ур"/>
    <w:uiPriority w:val="99"/>
    <w:qFormat/>
    <w:pPr>
      <w:numPr>
        <w:ilvl w:val="0"/>
        <w:numId w:val="34"/>
      </w:numPr>
      <w:jc w:val="both"/>
      <w:spacing w:line="360" w:lineRule="auto"/>
    </w:pPr>
    <w:rPr>
      <w:color w:val="000000"/>
      <w:sz w:val="28"/>
      <w:szCs w:val="24"/>
    </w:rPr>
  </w:style>
  <w:style w:type="paragraph" w:styleId="1636" w:customStyle="1">
    <w:name w:val="0 Список без нумер 2 ур"/>
    <w:uiPriority w:val="99"/>
    <w:qFormat/>
    <w:pPr>
      <w:numPr>
        <w:ilvl w:val="1"/>
        <w:numId w:val="34"/>
      </w:numPr>
      <w:jc w:val="both"/>
      <w:spacing w:line="360" w:lineRule="auto"/>
    </w:pPr>
    <w:rPr>
      <w:color w:val="000000"/>
      <w:sz w:val="24"/>
      <w:szCs w:val="24"/>
    </w:rPr>
  </w:style>
  <w:style w:type="paragraph" w:styleId="1637" w:customStyle="1">
    <w:name w:val="0 Список без нумер 3 ур"/>
    <w:uiPriority w:val="99"/>
    <w:qFormat/>
    <w:pPr>
      <w:numPr>
        <w:ilvl w:val="2"/>
        <w:numId w:val="34"/>
      </w:numPr>
      <w:jc w:val="both"/>
      <w:spacing w:line="360" w:lineRule="auto"/>
    </w:pPr>
    <w:rPr>
      <w:color w:val="000000"/>
      <w:sz w:val="24"/>
      <w:szCs w:val="24"/>
    </w:rPr>
  </w:style>
  <w:style w:type="table" w:styleId="1638" w:customStyle="1">
    <w:name w:val="0 таблица 1"/>
    <w:basedOn w:val="1473"/>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StylePr w:type="firstRow">
      <w:rPr>
        <w:rFonts w:ascii="Times New Roman" w:hAnsi="Times New Roman"/>
        <w:b/>
        <w:sz w:val="20"/>
      </w:rPr>
      <w:pPr>
        <w:jc w:val="center"/>
      </w:pPr>
    </w:tblStylePr>
  </w:style>
  <w:style w:type="paragraph" w:styleId="1639" w:customStyle="1">
    <w:name w:val="0 Таблица Заголовок графы_1.5"/>
    <w:pPr>
      <w:jc w:val="center"/>
      <w:spacing w:before="120" w:line="360" w:lineRule="auto"/>
    </w:pPr>
    <w:rPr>
      <w:b/>
      <w:color w:val="000000"/>
      <w:sz w:val="24"/>
      <w:szCs w:val="24"/>
    </w:rPr>
  </w:style>
  <w:style w:type="paragraph" w:styleId="1640" w:customStyle="1">
    <w:name w:val="0 Таблица заголовок графы_1"/>
    <w:basedOn w:val="1639"/>
    <w:uiPriority w:val="99"/>
    <w:pPr>
      <w:spacing w:line="240" w:lineRule="auto"/>
    </w:pPr>
    <w:rPr>
      <w:sz w:val="20"/>
    </w:rPr>
  </w:style>
  <w:style w:type="paragraph" w:styleId="1641" w:customStyle="1">
    <w:name w:val="0 Таблица Заголовок строки_1.5"/>
    <w:pPr>
      <w:spacing w:before="120" w:line="360" w:lineRule="auto"/>
    </w:pPr>
    <w:rPr>
      <w:b/>
      <w:color w:val="000000"/>
      <w:sz w:val="24"/>
      <w:szCs w:val="24"/>
    </w:rPr>
  </w:style>
  <w:style w:type="paragraph" w:styleId="1642" w:customStyle="1">
    <w:name w:val="0 Таблица Заголовок строки_1"/>
    <w:basedOn w:val="1641"/>
    <w:pPr>
      <w:spacing w:line="240" w:lineRule="auto"/>
    </w:pPr>
  </w:style>
  <w:style w:type="paragraph" w:styleId="1643" w:customStyle="1">
    <w:name w:val="0 Таблица Подпись"/>
    <w:pPr>
      <w:contextualSpacing/>
      <w:keepNext/>
      <w:spacing w:before="240"/>
    </w:pPr>
    <w:rPr>
      <w:color w:val="000000"/>
      <w:sz w:val="24"/>
      <w:szCs w:val="24"/>
    </w:rPr>
  </w:style>
  <w:style w:type="numbering" w:styleId="1644" w:customStyle="1">
    <w:name w:val="0 Таблица Список 1"/>
    <w:basedOn w:val="1292"/>
    <w:uiPriority w:val="99"/>
    <w:pPr>
      <w:numPr>
        <w:ilvl w:val="0"/>
        <w:numId w:val="35"/>
      </w:numPr>
    </w:pPr>
  </w:style>
  <w:style w:type="paragraph" w:styleId="1645" w:customStyle="1">
    <w:name w:val="0 Таблица Список 1 ур_1.5"/>
    <w:basedOn w:val="1627"/>
    <w:pPr>
      <w:numPr>
        <w:ilvl w:val="0"/>
        <w:numId w:val="37"/>
      </w:numPr>
      <w:contextualSpacing/>
    </w:pPr>
  </w:style>
  <w:style w:type="paragraph" w:styleId="1646" w:customStyle="1">
    <w:name w:val="0 Таблица Список 1 ур_1"/>
    <w:basedOn w:val="1645"/>
    <w:uiPriority w:val="1"/>
    <w:pPr>
      <w:numPr>
        <w:ilvl w:val="0"/>
        <w:numId w:val="36"/>
      </w:numPr>
      <w:spacing w:line="240" w:lineRule="auto"/>
      <w:tabs>
        <w:tab w:val="left" w:pos="567" w:leader="none"/>
      </w:tabs>
    </w:pPr>
    <w:rPr>
      <w:sz w:val="20"/>
    </w:rPr>
  </w:style>
  <w:style w:type="paragraph" w:styleId="1647" w:customStyle="1">
    <w:name w:val="0 Таблица Список 2 ур_1.5"/>
    <w:basedOn w:val="1628"/>
    <w:pPr>
      <w:numPr>
        <w:ilvl w:val="0"/>
        <w:numId w:val="37"/>
      </w:numPr>
    </w:pPr>
  </w:style>
  <w:style w:type="paragraph" w:styleId="1648" w:customStyle="1">
    <w:name w:val="0 Таблица Список 2 ур_1"/>
    <w:basedOn w:val="1647"/>
    <w:pPr>
      <w:numPr>
        <w:ilvl w:val="0"/>
        <w:numId w:val="38"/>
      </w:numPr>
      <w:spacing w:line="240" w:lineRule="auto"/>
      <w:tabs>
        <w:tab w:val="left" w:pos="567" w:leader="none"/>
      </w:tabs>
    </w:pPr>
    <w:rPr>
      <w:sz w:val="20"/>
    </w:rPr>
  </w:style>
  <w:style w:type="paragraph" w:styleId="1649" w:customStyle="1">
    <w:name w:val="0 Таблица Текст_1"/>
    <w:basedOn w:val="1280"/>
    <w:uiPriority w:val="99"/>
    <w:qFormat/>
    <w:pPr>
      <w:spacing w:before="120" w:after="120"/>
    </w:pPr>
    <w:rPr>
      <w:color w:val="000000"/>
      <w:szCs w:val="24"/>
      <w:lang w:val="en-US"/>
    </w:rPr>
  </w:style>
  <w:style w:type="paragraph" w:styleId="1650" w:customStyle="1">
    <w:name w:val="0 Таблица Текст_1.5"/>
    <w:pPr>
      <w:jc w:val="both"/>
      <w:spacing w:before="120" w:line="360" w:lineRule="auto"/>
    </w:pPr>
    <w:rPr>
      <w:color w:val="000000"/>
      <w:sz w:val="24"/>
      <w:szCs w:val="24"/>
    </w:rPr>
  </w:style>
  <w:style w:type="paragraph" w:styleId="1651" w:customStyle="1">
    <w:name w:val="0 Текст сноски"/>
    <w:basedOn w:val="1353"/>
    <w:pPr>
      <w:ind w:left="850"/>
      <w:jc w:val="both"/>
      <w:spacing w:before="120" w:after="120"/>
    </w:pPr>
  </w:style>
  <w:style w:type="numbering" w:styleId="1652" w:customStyle="1">
    <w:name w:val="0 Тест список"/>
    <w:pPr>
      <w:numPr>
        <w:ilvl w:val="0"/>
        <w:numId w:val="39"/>
      </w:numPr>
    </w:pPr>
  </w:style>
  <w:style w:type="paragraph" w:styleId="1653" w:customStyle="1">
    <w:name w:val="0 Титул"/>
    <w:qFormat/>
    <w:pPr>
      <w:spacing w:line="360" w:lineRule="auto"/>
    </w:pPr>
    <w:rPr>
      <w:sz w:val="24"/>
      <w:szCs w:val="24"/>
    </w:rPr>
  </w:style>
  <w:style w:type="paragraph" w:styleId="1654" w:customStyle="1">
    <w:name w:val="0 Титул - наименование документа"/>
    <w:basedOn w:val="1653"/>
    <w:pPr>
      <w:jc w:val="center"/>
    </w:pPr>
    <w:rPr>
      <w:caps/>
      <w:sz w:val="28"/>
      <w:szCs w:val="20"/>
    </w:rPr>
  </w:style>
  <w:style w:type="paragraph" w:styleId="1655" w:customStyle="1">
    <w:name w:val="0 Титул - Наименование организации и системы"/>
    <w:basedOn w:val="1653"/>
    <w:pPr>
      <w:jc w:val="center"/>
    </w:pPr>
    <w:rPr>
      <w:b/>
      <w:bCs/>
      <w:caps/>
      <w:szCs w:val="20"/>
    </w:rPr>
  </w:style>
  <w:style w:type="paragraph" w:styleId="1656" w:customStyle="1">
    <w:name w:val="0 Титул - утвержаю"/>
    <w:basedOn w:val="1653"/>
    <w:rPr>
      <w:b/>
      <w:bCs/>
    </w:rPr>
  </w:style>
  <w:style w:type="paragraph" w:styleId="1657" w:customStyle="1">
    <w:name w:val="0 Титул - шифр"/>
    <w:basedOn w:val="1653"/>
    <w:pPr>
      <w:jc w:val="center"/>
    </w:pPr>
    <w:rPr>
      <w:szCs w:val="20"/>
    </w:rPr>
  </w:style>
  <w:style w:type="paragraph" w:styleId="1658" w:customStyle="1">
    <w:name w:val="Многоуровневый_список"/>
    <w:basedOn w:val="1280"/>
    <w:link w:val="1661"/>
    <w:qFormat/>
    <w:pPr>
      <w:numPr>
        <w:ilvl w:val="0"/>
        <w:numId w:val="41"/>
      </w:numPr>
      <w:contextualSpacing/>
      <w:spacing w:before="120" w:after="120" w:line="276" w:lineRule="auto"/>
    </w:pPr>
    <w:rPr>
      <w:sz w:val="28"/>
    </w:rPr>
  </w:style>
  <w:style w:type="paragraph" w:styleId="1659" w:customStyle="1">
    <w:name w:val="Маркированный абзац"/>
    <w:basedOn w:val="1280"/>
    <w:link w:val="1660"/>
    <w:qFormat/>
    <w:pPr>
      <w:numPr>
        <w:ilvl w:val="0"/>
        <w:numId w:val="40"/>
      </w:numPr>
      <w:contextualSpacing/>
      <w:spacing w:before="120" w:after="60" w:line="276" w:lineRule="auto"/>
    </w:pPr>
    <w:rPr>
      <w:sz w:val="28"/>
    </w:rPr>
  </w:style>
  <w:style w:type="character" w:styleId="1660" w:customStyle="1">
    <w:name w:val="Маркированный абзац Знак"/>
    <w:link w:val="1659"/>
    <w:rPr>
      <w:sz w:val="28"/>
    </w:rPr>
  </w:style>
  <w:style w:type="character" w:styleId="1661" w:customStyle="1">
    <w:name w:val="Многоуровневый_список Знак"/>
    <w:link w:val="1658"/>
    <w:rPr>
      <w:sz w:val="28"/>
    </w:rPr>
  </w:style>
  <w:style w:type="paragraph" w:styleId="1662" w:customStyle="1">
    <w:name w:val="ibs_content_title"/>
    <w:pPr>
      <w:jc w:val="center"/>
      <w:spacing w:before="240" w:after="240"/>
    </w:pPr>
    <w:rPr>
      <w:rFonts w:eastAsia="MS Mincho"/>
      <w:b/>
      <w:bCs/>
      <w:sz w:val="28"/>
      <w:lang w:eastAsia="ja-JP"/>
    </w:rPr>
  </w:style>
  <w:style w:type="character" w:styleId="1663" w:customStyle="1">
    <w:name w:val="Стандартный HTML Знак"/>
    <w:link w:val="1384"/>
    <w:rPr>
      <w:rFonts w:ascii="Courier New" w:hAnsi="Courier New" w:cs="Courier New"/>
    </w:rPr>
  </w:style>
  <w:style w:type="paragraph" w:styleId="1664" w:customStyle="1">
    <w:name w:val="обычный текст"/>
    <w:basedOn w:val="1280"/>
    <w:link w:val="1665"/>
    <w:qFormat/>
    <w:pPr>
      <w:ind w:firstLine="709"/>
      <w:spacing w:before="120" w:after="120" w:line="276" w:lineRule="auto"/>
    </w:pPr>
    <w:rPr>
      <w:sz w:val="28"/>
      <w:szCs w:val="28"/>
    </w:rPr>
  </w:style>
  <w:style w:type="character" w:styleId="1665" w:customStyle="1">
    <w:name w:val="обычный текст Знак"/>
    <w:link w:val="1664"/>
    <w:rPr>
      <w:sz w:val="28"/>
      <w:szCs w:val="28"/>
    </w:rPr>
  </w:style>
  <w:style w:type="paragraph" w:styleId="1666" w:customStyle="1">
    <w:name w:val="Заг 1 АННОТАЦИЯ"/>
    <w:basedOn w:val="1280"/>
    <w:next w:val="1280"/>
    <w:pPr>
      <w:jc w:val="center"/>
      <w:pageBreakBefore/>
      <w:spacing w:before="120" w:after="60"/>
    </w:pPr>
    <w:rPr>
      <w:rFonts w:ascii="Arial" w:hAnsi="Arial"/>
      <w:b/>
      <w:caps/>
      <w:szCs w:val="24"/>
    </w:rPr>
  </w:style>
  <w:style w:type="character" w:styleId="1667" w:customStyle="1">
    <w:name w:val="Текст выноски Знак"/>
    <w:link w:val="1343"/>
    <w:rPr>
      <w:rFonts w:ascii="Tahoma" w:hAnsi="Tahoma" w:cs="Tahoma"/>
      <w:sz w:val="16"/>
      <w:szCs w:val="16"/>
    </w:rPr>
  </w:style>
  <w:style w:type="character" w:styleId="1668" w:customStyle="1">
    <w:name w:val="_EB_List_mark1 Знак Знак"/>
    <w:semiHidden/>
    <w:rPr>
      <w:sz w:val="24"/>
      <w:szCs w:val="22"/>
      <w:lang w:val="en-US"/>
    </w:rPr>
  </w:style>
  <w:style w:type="paragraph" w:styleId="1669" w:customStyle="1">
    <w:name w:val="0 Заголовок 4 ур1"/>
    <w:next w:val="1280"/>
    <w:pPr>
      <w:jc w:val="both"/>
      <w:keepLines/>
      <w:keepNext/>
      <w:spacing w:before="120" w:line="360" w:lineRule="auto"/>
      <w:tabs>
        <w:tab w:val="left" w:pos="1843" w:leader="none"/>
        <w:tab w:val="left" w:pos="2126" w:leader="none"/>
      </w:tabs>
      <w:outlineLvl w:val="3"/>
    </w:pPr>
    <w:rPr>
      <w:color w:val="000000"/>
      <w:sz w:val="28"/>
      <w:szCs w:val="24"/>
    </w:rPr>
  </w:style>
  <w:style w:type="character" w:styleId="1670" w:customStyle="1">
    <w:name w:val="Тема примечания Знак"/>
    <w:link w:val="1346"/>
    <w:semiHidden/>
    <w:rPr>
      <w:b/>
      <w:bCs/>
    </w:rPr>
  </w:style>
  <w:style w:type="paragraph" w:styleId="1671" w:customStyle="1">
    <w:name w:val="Знак Знак Знак Char Char Знак Знак Char Char Знак Знак Char Char Знак Знак Char Char"/>
    <w:basedOn w:val="1280"/>
    <w:pPr>
      <w:spacing w:before="120" w:after="160" w:line="240" w:lineRule="exact"/>
    </w:pPr>
    <w:rPr>
      <w:rFonts w:ascii="Arial" w:hAnsi="Arial"/>
      <w:sz w:val="28"/>
      <w:lang w:val="en-US" w:eastAsia="en-US"/>
    </w:rPr>
  </w:style>
  <w:style w:type="paragraph" w:styleId="1672">
    <w:name w:val="TOC Heading"/>
    <w:basedOn w:val="1281"/>
    <w:next w:val="1280"/>
    <w:uiPriority w:val="39"/>
    <w:qFormat/>
    <w:pPr>
      <w:numPr>
        <w:ilvl w:val="0"/>
        <w:numId w:val="0"/>
      </w:numPr>
      <w:contextualSpacing w:val="0"/>
      <w:ind w:left="360" w:hanging="360"/>
      <w:jc w:val="left"/>
      <w:keepLines/>
      <w:spacing w:after="60"/>
      <w:tabs>
        <w:tab w:val="left" w:pos="1" w:leader="none"/>
        <w:tab w:val="left" w:pos="284" w:leader="none"/>
        <w:tab w:val="num" w:pos="360" w:leader="none"/>
        <w:tab w:val="clear" w:pos="567" w:leader="none"/>
        <w:tab w:val="left" w:pos="568" w:leader="none"/>
        <w:tab w:val="left" w:pos="851" w:leader="none"/>
        <w:tab w:val="left" w:pos="1418" w:leader="none"/>
        <w:tab w:val="left" w:pos="1701" w:leader="none"/>
        <w:tab w:val="left" w:pos="1985" w:leader="none"/>
      </w:tabs>
      <w:outlineLvl w:val="9"/>
    </w:pPr>
    <w:rPr>
      <w:caps w:val="0"/>
      <w:szCs w:val="44"/>
    </w:rPr>
  </w:style>
  <w:style w:type="paragraph" w:styleId="1673" w:customStyle="1">
    <w:name w:val="Table Header"/>
    <w:basedOn w:val="1280"/>
    <w:pPr>
      <w:spacing w:before="120" w:after="120" w:line="360" w:lineRule="atLeast"/>
    </w:pPr>
    <w:rPr>
      <w:rFonts w:ascii="Arial" w:hAnsi="Arial" w:eastAsia="Calibri"/>
      <w:b/>
      <w:sz w:val="14"/>
      <w:szCs w:val="16"/>
      <w:lang w:eastAsia="es-ES"/>
    </w:rPr>
  </w:style>
  <w:style w:type="character" w:styleId="1674" w:customStyle="1">
    <w:name w:val="Схема документа Знак"/>
    <w:link w:val="1337"/>
    <w:rPr>
      <w:rFonts w:ascii="Tahoma" w:hAnsi="Tahoma" w:cs="Tahoma"/>
      <w:shd w:val="clear" w:color="auto" w:fill="000080"/>
    </w:rPr>
  </w:style>
  <w:style w:type="paragraph" w:styleId="1675" w:customStyle="1">
    <w:name w:val="Таблица обычный"/>
    <w:basedOn w:val="1280"/>
    <w:pPr>
      <w:ind w:left="57"/>
      <w:spacing w:before="60" w:after="60"/>
    </w:pPr>
    <w:rPr>
      <w:rFonts w:ascii="Arial" w:hAnsi="Arial" w:eastAsia="Arial Unicode MS"/>
      <w:sz w:val="20"/>
      <w:szCs w:val="24"/>
    </w:rPr>
  </w:style>
  <w:style w:type="paragraph" w:styleId="1676" w:customStyle="1">
    <w:name w:val="Таблица шапка"/>
    <w:basedOn w:val="1675"/>
    <w:pPr>
      <w:ind w:right="57"/>
      <w:jc w:val="center"/>
      <w:keepNext/>
    </w:pPr>
    <w:rPr>
      <w:b/>
    </w:rPr>
  </w:style>
  <w:style w:type="paragraph" w:styleId="1677" w:customStyle="1">
    <w:name w:val="IBS Основной текст"/>
    <w:link w:val="1678"/>
    <w:pPr>
      <w:ind w:left="74" w:firstLine="709"/>
      <w:jc w:val="both"/>
      <w:spacing w:after="240"/>
    </w:pPr>
    <w:rPr>
      <w:sz w:val="24"/>
      <w:szCs w:val="24"/>
    </w:rPr>
  </w:style>
  <w:style w:type="character" w:styleId="1678" w:customStyle="1">
    <w:name w:val="IBS Основной текст Знак"/>
    <w:link w:val="1677"/>
    <w:rPr>
      <w:sz w:val="24"/>
      <w:szCs w:val="24"/>
    </w:rPr>
  </w:style>
  <w:style w:type="paragraph" w:styleId="1679" w:customStyle="1">
    <w:name w:val="IBS Текст таблицы"/>
    <w:pPr>
      <w:spacing w:before="40" w:after="40"/>
    </w:pPr>
    <w:rPr>
      <w:rFonts w:ascii="Arial" w:hAnsi="Arial"/>
    </w:rPr>
  </w:style>
  <w:style w:type="numbering" w:styleId="1680" w:customStyle="1">
    <w:name w:val="Стиль нумерованный"/>
    <w:basedOn w:val="1292"/>
    <w:pPr>
      <w:numPr>
        <w:ilvl w:val="0"/>
        <w:numId w:val="42"/>
      </w:numPr>
    </w:pPr>
  </w:style>
  <w:style w:type="paragraph" w:styleId="1681" w:customStyle="1">
    <w:name w:val="Таблица название"/>
    <w:basedOn w:val="1280"/>
    <w:link w:val="1684"/>
    <w:pPr>
      <w:ind w:left="709"/>
      <w:jc w:val="right"/>
      <w:keepNext/>
      <w:spacing w:before="60" w:after="60"/>
    </w:pPr>
    <w:rPr>
      <w:rFonts w:ascii="Arial" w:hAnsi="Arial"/>
      <w:b/>
      <w:sz w:val="20"/>
      <w:szCs w:val="24"/>
    </w:rPr>
  </w:style>
  <w:style w:type="paragraph" w:styleId="1682" w:customStyle="1">
    <w:name w:val="Таблица маркированный"/>
    <w:basedOn w:val="1420"/>
    <w:pPr>
      <w:numPr>
        <w:ilvl w:val="0"/>
        <w:numId w:val="0"/>
      </w:numPr>
      <w:ind w:left="992" w:hanging="283"/>
      <w:spacing w:before="120" w:after="120"/>
      <w:tabs>
        <w:tab w:val="num" w:pos="643" w:leader="none"/>
        <w:tab w:val="num" w:pos="992" w:leader="none"/>
        <w:tab w:val="left" w:pos="1418" w:leader="none"/>
      </w:tabs>
    </w:pPr>
    <w:rPr>
      <w:sz w:val="20"/>
      <w:szCs w:val="24"/>
    </w:rPr>
  </w:style>
  <w:style w:type="paragraph" w:styleId="1683" w:customStyle="1">
    <w:name w:val="Маркированный *"/>
    <w:basedOn w:val="1420"/>
    <w:pPr>
      <w:numPr>
        <w:ilvl w:val="0"/>
        <w:numId w:val="43"/>
      </w:numPr>
      <w:keepNext/>
      <w:spacing w:before="120" w:after="120"/>
      <w:tabs>
        <w:tab w:val="left" w:pos="1418" w:leader="none"/>
      </w:tabs>
    </w:pPr>
    <w:rPr>
      <w:sz w:val="28"/>
      <w:szCs w:val="24"/>
    </w:rPr>
  </w:style>
  <w:style w:type="character" w:styleId="1684" w:customStyle="1">
    <w:name w:val="Таблица название Знак"/>
    <w:link w:val="1681"/>
    <w:rPr>
      <w:rFonts w:ascii="Arial" w:hAnsi="Arial"/>
      <w:b/>
      <w:szCs w:val="24"/>
    </w:rPr>
  </w:style>
  <w:style w:type="character" w:styleId="1685" w:customStyle="1">
    <w:name w:val="Обычный полужирный"/>
    <w:rPr>
      <w:b/>
      <w:bCs/>
    </w:rPr>
  </w:style>
  <w:style w:type="character" w:styleId="1686" w:customStyle="1">
    <w:name w:val="Стиль полужирный"/>
    <w:rPr>
      <w:rFonts w:ascii="Times New Roman" w:hAnsi="Times New Roman"/>
      <w:b/>
      <w:bCs/>
      <w:sz w:val="28"/>
    </w:rPr>
  </w:style>
  <w:style w:type="paragraph" w:styleId="1687" w:customStyle="1">
    <w:name w:val="КомментарийГОСТ"/>
    <w:basedOn w:val="1280"/>
    <w:pPr>
      <w:ind w:firstLine="720"/>
      <w:spacing w:before="120" w:after="120"/>
    </w:pPr>
    <w:rPr>
      <w:color w:val="800000"/>
      <w:szCs w:val="24"/>
    </w:rPr>
  </w:style>
  <w:style w:type="paragraph" w:styleId="1688" w:customStyle="1">
    <w:name w:val="Комментарий"/>
    <w:basedOn w:val="1280"/>
    <w:link w:val="1936"/>
    <w:qFormat/>
    <w:pPr>
      <w:ind w:firstLine="720"/>
      <w:spacing w:before="120" w:after="120"/>
    </w:pPr>
    <w:rPr>
      <w:color w:val="0000ff"/>
      <w:szCs w:val="24"/>
    </w:rPr>
  </w:style>
  <w:style w:type="paragraph" w:styleId="1689" w:customStyle="1">
    <w:name w:val="Номер в таблице"/>
    <w:basedOn w:val="1547"/>
    <w:link w:val="1925"/>
    <w:qFormat/>
    <w:pPr>
      <w:numPr>
        <w:ilvl w:val="0"/>
        <w:numId w:val="44"/>
      </w:numPr>
      <w:contextualSpacing w:val="0"/>
      <w:ind w:left="0" w:firstLine="567"/>
      <w:jc w:val="right"/>
      <w:spacing w:before="120" w:after="120"/>
    </w:pPr>
    <w:rPr>
      <w:rFonts w:ascii="Times New Roman" w:hAnsi="Times New Roman" w:eastAsia="Times New Roman"/>
      <w:sz w:val="24"/>
      <w:szCs w:val="20"/>
    </w:rPr>
  </w:style>
  <w:style w:type="paragraph" w:styleId="1690" w:customStyle="1">
    <w:name w:val="Ненум.список"/>
    <w:basedOn w:val="1379"/>
    <w:link w:val="1691"/>
    <w:qFormat/>
    <w:pPr>
      <w:ind w:left="0" w:firstLine="709"/>
      <w:spacing w:before="120" w:after="120" w:line="360" w:lineRule="atLeast"/>
      <w:tabs>
        <w:tab w:val="num" w:pos="927" w:leader="none"/>
      </w:tabs>
    </w:pPr>
    <w:rPr>
      <w:sz w:val="28"/>
    </w:rPr>
  </w:style>
  <w:style w:type="character" w:styleId="1691" w:customStyle="1">
    <w:name w:val="Ненум.список Знак"/>
    <w:link w:val="1690"/>
    <w:rPr>
      <w:sz w:val="28"/>
    </w:rPr>
  </w:style>
  <w:style w:type="paragraph" w:styleId="1692" w:customStyle="1">
    <w:name w:val="Основной т."/>
    <w:basedOn w:val="1280"/>
    <w:link w:val="1693"/>
    <w:qFormat/>
    <w:pPr>
      <w:ind w:firstLine="709"/>
      <w:spacing w:before="100" w:beforeAutospacing="1" w:after="100" w:afterAutospacing="1" w:line="360" w:lineRule="atLeast"/>
    </w:pPr>
    <w:rPr>
      <w:sz w:val="28"/>
    </w:rPr>
  </w:style>
  <w:style w:type="character" w:styleId="1693" w:customStyle="1">
    <w:name w:val="Основной т. Знак"/>
    <w:link w:val="1692"/>
    <w:rPr>
      <w:sz w:val="28"/>
    </w:rPr>
  </w:style>
  <w:style w:type="paragraph" w:styleId="1694" w:customStyle="1">
    <w:name w:val="Таблица - наименование"/>
    <w:basedOn w:val="1280"/>
    <w:qFormat/>
    <w:pPr>
      <w:jc w:val="left"/>
      <w:keepNext/>
      <w:spacing w:before="120" w:after="120"/>
    </w:pPr>
    <w:rPr>
      <w:sz w:val="28"/>
      <w:szCs w:val="24"/>
    </w:rPr>
  </w:style>
  <w:style w:type="paragraph" w:styleId="1695" w:customStyle="1">
    <w:name w:val="Таблица (12) - Заголовки"/>
    <w:basedOn w:val="1280"/>
    <w:qFormat/>
    <w:pPr>
      <w:jc w:val="left"/>
      <w:spacing w:before="60" w:after="60"/>
    </w:pPr>
    <w:rPr>
      <w:rFonts w:ascii="Arial" w:hAnsi="Arial" w:cs="Arial"/>
      <w:b/>
      <w:sz w:val="28"/>
      <w:szCs w:val="24"/>
    </w:rPr>
  </w:style>
  <w:style w:type="paragraph" w:styleId="1696" w:customStyle="1">
    <w:name w:val="Таблица (12) - осн. текст"/>
    <w:basedOn w:val="1280"/>
    <w:qFormat/>
    <w:pPr>
      <w:jc w:val="left"/>
      <w:spacing w:before="60" w:after="60"/>
    </w:pPr>
    <w:rPr>
      <w:sz w:val="28"/>
      <w:szCs w:val="24"/>
    </w:rPr>
  </w:style>
  <w:style w:type="character" w:styleId="1697" w:customStyle="1">
    <w:name w:val="Выделение жирным шрифтом"/>
    <w:qFormat/>
    <w:rPr>
      <w:b/>
    </w:rPr>
  </w:style>
  <w:style w:type="character" w:styleId="1698" w:customStyle="1">
    <w:name w:val="Выделение курсивом"/>
    <w:qFormat/>
    <w:rPr>
      <w:i/>
    </w:rPr>
  </w:style>
  <w:style w:type="character" w:styleId="1699" w:customStyle="1">
    <w:name w:val="Выделение подчеркиванием"/>
    <w:qFormat/>
    <w:rPr>
      <w:u w:val="single"/>
    </w:rPr>
  </w:style>
  <w:style w:type="paragraph" w:styleId="1700" w:customStyle="1">
    <w:name w:val="я_Технический стиль 1"/>
    <w:basedOn w:val="1280"/>
    <w:link w:val="1701"/>
    <w:qFormat/>
    <w:pPr>
      <w:ind w:left="142" w:right="140"/>
      <w:jc w:val="center"/>
      <w:spacing w:before="120" w:after="120"/>
      <w:pBdr>
        <w:bottom w:val="single" w:color="000000" w:sz="12" w:space="1"/>
      </w:pBdr>
    </w:pPr>
    <w:rPr>
      <w:rFonts w:ascii="Arial" w:hAnsi="Arial" w:cs="Arial"/>
      <w:b/>
      <w:bCs/>
      <w:sz w:val="28"/>
      <w:szCs w:val="24"/>
    </w:rPr>
  </w:style>
  <w:style w:type="character" w:styleId="1701" w:customStyle="1">
    <w:name w:val="я_Технический стиль 1 Знак"/>
    <w:link w:val="1700"/>
    <w:rPr>
      <w:rFonts w:ascii="Arial" w:hAnsi="Arial" w:cs="Arial"/>
      <w:b/>
      <w:bCs/>
      <w:sz w:val="28"/>
      <w:szCs w:val="24"/>
    </w:rPr>
  </w:style>
  <w:style w:type="paragraph" w:styleId="1702" w:customStyle="1">
    <w:name w:val="я_Технический стиль 2"/>
    <w:basedOn w:val="1280"/>
    <w:link w:val="1703"/>
    <w:qFormat/>
    <w:pPr>
      <w:jc w:val="left"/>
      <w:spacing w:before="120" w:after="120"/>
    </w:pPr>
    <w:rPr>
      <w:rFonts w:cs="Arial"/>
      <w:sz w:val="28"/>
      <w:szCs w:val="24"/>
      <w:u w:val="single"/>
    </w:rPr>
  </w:style>
  <w:style w:type="character" w:styleId="1703" w:customStyle="1">
    <w:name w:val="я_Технический стиль 2 Знак"/>
    <w:link w:val="1702"/>
    <w:rPr>
      <w:rFonts w:cs="Arial"/>
      <w:sz w:val="28"/>
      <w:szCs w:val="24"/>
      <w:u w:val="single"/>
    </w:rPr>
  </w:style>
  <w:style w:type="paragraph" w:styleId="1704" w:customStyle="1">
    <w:name w:val="я_Технический стиль 3"/>
    <w:basedOn w:val="1280"/>
    <w:link w:val="1705"/>
    <w:qFormat/>
    <w:pPr>
      <w:jc w:val="left"/>
      <w:spacing w:before="120" w:after="120"/>
    </w:pPr>
    <w:rPr>
      <w:rFonts w:ascii="Arial" w:hAnsi="Arial" w:cs="Arial"/>
      <w:b/>
      <w:sz w:val="28"/>
      <w:szCs w:val="24"/>
    </w:rPr>
  </w:style>
  <w:style w:type="character" w:styleId="1705" w:customStyle="1">
    <w:name w:val="я_Технический стиль 3 Знак"/>
    <w:link w:val="1704"/>
    <w:rPr>
      <w:rFonts w:ascii="Arial" w:hAnsi="Arial" w:cs="Arial"/>
      <w:b/>
      <w:sz w:val="28"/>
      <w:szCs w:val="24"/>
    </w:rPr>
  </w:style>
  <w:style w:type="character" w:styleId="1706" w:customStyle="1">
    <w:name w:val="Выделение цветом (желтый)"/>
    <w:qFormat/>
    <w:rPr>
      <w:shd w:val="clear" w:color="auto" w:fill="ffff00"/>
    </w:rPr>
  </w:style>
  <w:style w:type="character" w:styleId="1707" w:customStyle="1">
    <w:name w:val="Абзац списка Знак"/>
    <w:link w:val="1547"/>
    <w:uiPriority w:val="34"/>
    <w:rPr>
      <w:rFonts w:ascii="Calibri" w:hAnsi="Calibri" w:eastAsia="Calibri"/>
      <w:sz w:val="22"/>
      <w:szCs w:val="22"/>
    </w:rPr>
  </w:style>
  <w:style w:type="paragraph" w:styleId="1708" w:customStyle="1">
    <w:name w:val="Абз. перед списком"/>
    <w:basedOn w:val="1692"/>
    <w:next w:val="1690"/>
    <w:link w:val="1709"/>
    <w:qFormat/>
    <w:pPr>
      <w:keepNext/>
      <w:spacing w:after="120"/>
    </w:pPr>
  </w:style>
  <w:style w:type="character" w:styleId="1709" w:customStyle="1">
    <w:name w:val="Абз. перед списком Знак"/>
    <w:link w:val="1708"/>
    <w:rPr>
      <w:sz w:val="28"/>
    </w:rPr>
  </w:style>
  <w:style w:type="paragraph" w:styleId="1710" w:customStyle="1">
    <w:name w:val="Абзац списка4"/>
    <w:basedOn w:val="1280"/>
    <w:qFormat/>
    <w:pPr>
      <w:ind w:left="708"/>
      <w:jc w:val="left"/>
      <w:spacing w:before="120" w:after="120"/>
    </w:pPr>
    <w:rPr>
      <w:sz w:val="28"/>
      <w:szCs w:val="24"/>
    </w:rPr>
  </w:style>
  <w:style w:type="paragraph" w:styleId="1711" w:customStyle="1">
    <w:name w:val="Текст таблицы"/>
    <w:basedOn w:val="1280"/>
    <w:link w:val="2010"/>
    <w:qFormat/>
    <w:pPr>
      <w:jc w:val="left"/>
      <w:spacing w:before="120" w:after="120"/>
    </w:pPr>
    <w:rPr>
      <w:sz w:val="28"/>
      <w:szCs w:val="22"/>
    </w:rPr>
  </w:style>
  <w:style w:type="paragraph" w:styleId="1712" w:customStyle="1">
    <w:name w:val="Базовый заголовок"/>
    <w:basedOn w:val="1713"/>
    <w:next w:val="1280"/>
    <w:pPr>
      <w:ind w:left="1"/>
      <w:keepNext/>
      <w:tabs>
        <w:tab w:val="left" w:pos="1" w:leader="none"/>
        <w:tab w:val="left" w:pos="284" w:leader="none"/>
        <w:tab w:val="left" w:pos="568" w:leader="none"/>
        <w:tab w:val="left" w:pos="851" w:leader="none"/>
        <w:tab w:val="left" w:pos="1134" w:leader="none"/>
        <w:tab w:val="left" w:pos="1418" w:leader="none"/>
        <w:tab w:val="left" w:pos="1701" w:leader="none"/>
        <w:tab w:val="left" w:pos="1985" w:leader="none"/>
      </w:tabs>
    </w:pPr>
    <w:rPr>
      <w:b/>
      <w:szCs w:val="22"/>
    </w:rPr>
  </w:style>
  <w:style w:type="paragraph" w:styleId="1713" w:customStyle="1">
    <w:name w:val="Обычный (без отступа)"/>
    <w:basedOn w:val="1280"/>
    <w:pPr>
      <w:ind w:firstLine="0"/>
      <w:spacing w:before="120" w:after="120"/>
    </w:pPr>
    <w:rPr>
      <w:sz w:val="28"/>
      <w:szCs w:val="24"/>
    </w:rPr>
  </w:style>
  <w:style w:type="character" w:styleId="1714" w:customStyle="1">
    <w:name w:val="Базовый стиль символов"/>
    <w:rPr>
      <w:rFonts w:ascii="Times New Roman" w:hAnsi="Times New Roman" w:cs="Times New Roman"/>
    </w:rPr>
  </w:style>
  <w:style w:type="paragraph" w:styleId="1715">
    <w:name w:val="HTML Bottom of Form"/>
    <w:basedOn w:val="1280"/>
    <w:next w:val="1280"/>
    <w:link w:val="1716"/>
    <w:hidden/>
    <w:pPr>
      <w:jc w:val="center"/>
      <w:spacing w:before="120" w:after="120"/>
      <w:pBdr>
        <w:top w:val="single" w:color="000000" w:sz="6" w:space="1"/>
      </w:pBdr>
    </w:pPr>
    <w:rPr>
      <w:rFonts w:ascii="Arial" w:hAnsi="Arial" w:cs="Arial"/>
      <w:vanish/>
      <w:sz w:val="16"/>
      <w:szCs w:val="16"/>
    </w:rPr>
  </w:style>
  <w:style w:type="character" w:styleId="1716" w:customStyle="1">
    <w:name w:val="z-Конец формы Знак"/>
    <w:basedOn w:val="1290"/>
    <w:link w:val="1715"/>
    <w:rPr>
      <w:rFonts w:ascii="Arial" w:hAnsi="Arial" w:cs="Arial"/>
      <w:vanish/>
      <w:sz w:val="16"/>
      <w:szCs w:val="16"/>
    </w:rPr>
  </w:style>
  <w:style w:type="paragraph" w:styleId="1717" w:customStyle="1">
    <w:name w:val="Базовый нумерованный список"/>
    <w:basedOn w:val="1718"/>
  </w:style>
  <w:style w:type="paragraph" w:styleId="1718" w:customStyle="1">
    <w:name w:val="Базовый список"/>
    <w:basedOn w:val="1713"/>
  </w:style>
  <w:style w:type="character" w:styleId="1719" w:customStyle="1">
    <w:name w:val="Кнопка (с контуром)"/>
    <w:rPr>
      <w:b/>
      <w:position w:val="-2"/>
    </w:rPr>
  </w:style>
  <w:style w:type="character" w:styleId="1720" w:customStyle="1">
    <w:name w:val="Кнопка"/>
    <w:rPr>
      <w:position w:val="-2"/>
    </w:rPr>
  </w:style>
  <w:style w:type="paragraph" w:styleId="1721" w:customStyle="1">
    <w:name w:val="Базовый стиль Продолжение списка"/>
    <w:basedOn w:val="1718"/>
  </w:style>
  <w:style w:type="paragraph" w:styleId="1722">
    <w:name w:val="HTML Top of Form"/>
    <w:basedOn w:val="1280"/>
    <w:next w:val="1280"/>
    <w:link w:val="1723"/>
    <w:hidden/>
    <w:pPr>
      <w:jc w:val="center"/>
      <w:spacing w:before="120" w:after="120"/>
      <w:pBdr>
        <w:bottom w:val="single" w:color="000000" w:sz="6" w:space="1"/>
      </w:pBdr>
    </w:pPr>
    <w:rPr>
      <w:rFonts w:ascii="Arial" w:hAnsi="Arial" w:cs="Arial"/>
      <w:vanish/>
      <w:sz w:val="16"/>
      <w:szCs w:val="16"/>
    </w:rPr>
  </w:style>
  <w:style w:type="character" w:styleId="1723" w:customStyle="1">
    <w:name w:val="z-Начало формы Знак"/>
    <w:basedOn w:val="1290"/>
    <w:link w:val="1722"/>
    <w:rPr>
      <w:rFonts w:ascii="Arial" w:hAnsi="Arial" w:cs="Arial"/>
      <w:vanish/>
      <w:sz w:val="16"/>
      <w:szCs w:val="16"/>
    </w:rPr>
  </w:style>
  <w:style w:type="paragraph" w:styleId="1724" w:customStyle="1">
    <w:name w:val="Базовый маркированный список"/>
    <w:basedOn w:val="1718"/>
  </w:style>
  <w:style w:type="paragraph" w:styleId="1725" w:customStyle="1">
    <w:name w:val="Базовый дополнительный список"/>
    <w:basedOn w:val="1718"/>
  </w:style>
  <w:style w:type="paragraph" w:styleId="1726" w:customStyle="1">
    <w:name w:val="Нумерованный список (тбл)"/>
    <w:basedOn w:val="1727"/>
    <w:pPr>
      <w:numPr>
        <w:ilvl w:val="0"/>
        <w:numId w:val="46"/>
      </w:numPr>
      <w:tabs>
        <w:tab w:val="clear" w:pos="567" w:leader="none"/>
      </w:tabs>
    </w:pPr>
  </w:style>
  <w:style w:type="paragraph" w:styleId="1727" w:customStyle="1">
    <w:name w:val="Базовый нумерованный список (тбл)"/>
    <w:basedOn w:val="1728"/>
  </w:style>
  <w:style w:type="paragraph" w:styleId="1728" w:customStyle="1">
    <w:name w:val="Базовый список (тбл)"/>
    <w:basedOn w:val="1562"/>
  </w:style>
  <w:style w:type="paragraph" w:styleId="1729" w:customStyle="1">
    <w:name w:val="Нумерованный список 2 (тбл)"/>
    <w:basedOn w:val="1727"/>
    <w:pPr>
      <w:numPr>
        <w:ilvl w:val="0"/>
        <w:numId w:val="47"/>
      </w:numPr>
    </w:pPr>
    <w:rPr>
      <w:bCs w:val="0"/>
      <w:szCs w:val="24"/>
    </w:rPr>
  </w:style>
  <w:style w:type="paragraph" w:styleId="1730" w:customStyle="1">
    <w:name w:val="Нумерованный список 3 (тбл)"/>
    <w:basedOn w:val="1726"/>
    <w:pPr>
      <w:numPr>
        <w:ilvl w:val="0"/>
        <w:numId w:val="48"/>
      </w:numPr>
      <w:ind w:left="1707"/>
    </w:pPr>
  </w:style>
  <w:style w:type="paragraph" w:styleId="1731" w:customStyle="1">
    <w:name w:val="Базовый маркированный список (тбл)"/>
    <w:basedOn w:val="1728"/>
  </w:style>
  <w:style w:type="paragraph" w:styleId="1732" w:customStyle="1">
    <w:name w:val="Маркированный список 2 (тбл)"/>
    <w:basedOn w:val="1731"/>
    <w:pPr>
      <w:numPr>
        <w:ilvl w:val="0"/>
        <w:numId w:val="49"/>
      </w:numPr>
    </w:pPr>
  </w:style>
  <w:style w:type="paragraph" w:styleId="1733" w:customStyle="1">
    <w:name w:val="Маркированный список 3 (тбл)"/>
    <w:basedOn w:val="1731"/>
    <w:pPr>
      <w:numPr>
        <w:ilvl w:val="0"/>
        <w:numId w:val="45"/>
      </w:numPr>
    </w:pPr>
  </w:style>
  <w:style w:type="paragraph" w:styleId="1734" w:customStyle="1">
    <w:name w:val="Продолжение списка (тбл)"/>
    <w:basedOn w:val="1735"/>
    <w:pPr>
      <w:ind w:left="567"/>
    </w:pPr>
  </w:style>
  <w:style w:type="paragraph" w:styleId="1735" w:customStyle="1">
    <w:name w:val="Базовый стиль Продолжение списка (тбл)"/>
    <w:basedOn w:val="1728"/>
  </w:style>
  <w:style w:type="paragraph" w:styleId="1736" w:customStyle="1">
    <w:name w:val="Продолжение списка 2 (тбл)"/>
    <w:basedOn w:val="1735"/>
    <w:pPr>
      <w:ind w:left="1134"/>
    </w:pPr>
  </w:style>
  <w:style w:type="paragraph" w:styleId="1737" w:customStyle="1">
    <w:name w:val="Продолжение списка 3 (тбл)"/>
    <w:basedOn w:val="1735"/>
    <w:pPr>
      <w:ind w:left="1701"/>
    </w:pPr>
  </w:style>
  <w:style w:type="paragraph" w:styleId="1738" w:customStyle="1">
    <w:name w:val="Базовый дополнительный элемент"/>
    <w:basedOn w:val="1713"/>
    <w:pPr>
      <w:keepNext/>
      <w:spacing w:before="60"/>
    </w:pPr>
    <w:rPr>
      <w:szCs w:val="22"/>
    </w:rPr>
  </w:style>
  <w:style w:type="paragraph" w:styleId="1739" w:customStyle="1">
    <w:name w:val="Внимание!"/>
    <w:basedOn w:val="1738"/>
    <w:next w:val="1280"/>
    <w:rPr>
      <w:b/>
      <w:i/>
      <w:iCs/>
    </w:rPr>
  </w:style>
  <w:style w:type="character" w:styleId="1740" w:customStyle="1">
    <w:name w:val="Выделение (полужирный)"/>
    <w:rPr>
      <w:rFonts w:ascii="Times New Roman" w:hAnsi="Times New Roman" w:cs="Times New Roman"/>
      <w:b/>
      <w:color w:val="auto"/>
    </w:rPr>
  </w:style>
  <w:style w:type="character" w:styleId="1741" w:customStyle="1">
    <w:name w:val="Термин"/>
    <w:rPr>
      <w:rFonts w:ascii="Arial" w:hAnsi="Arial" w:cs="Times New Roman"/>
      <w:b/>
      <w:i/>
      <w:color w:val="auto"/>
    </w:rPr>
  </w:style>
  <w:style w:type="paragraph" w:styleId="1742" w:customStyle="1">
    <w:name w:val="Базовый стиль оглавлений"/>
    <w:basedOn w:val="1713"/>
    <w:pPr>
      <w:tabs>
        <w:tab w:val="right" w:pos="10093" w:leader="none"/>
      </w:tabs>
    </w:pPr>
  </w:style>
  <w:style w:type="paragraph" w:styleId="1743" w:customStyle="1">
    <w:name w:val="Пример"/>
    <w:basedOn w:val="1738"/>
    <w:next w:val="1280"/>
    <w:rPr>
      <w:b/>
    </w:rPr>
  </w:style>
  <w:style w:type="character" w:styleId="1744" w:customStyle="1">
    <w:name w:val="Перекрестная ссылка"/>
    <w:rPr>
      <w:rFonts w:ascii="Times New Roman" w:hAnsi="Times New Roman" w:cs="Times New Roman"/>
      <w:color w:val="0000ff"/>
      <w:u w:val="single"/>
    </w:rPr>
  </w:style>
  <w:style w:type="paragraph" w:styleId="1745" w:customStyle="1">
    <w:name w:val="Объект (с отрывом)"/>
    <w:basedOn w:val="1571"/>
    <w:next w:val="1280"/>
    <w:pPr>
      <w:keepNext w:val="0"/>
      <w:spacing w:after="0"/>
    </w:pPr>
  </w:style>
  <w:style w:type="character" w:styleId="1746" w:customStyle="1">
    <w:name w:val="Выделение (шрифт)"/>
    <w:rPr>
      <w:rFonts w:ascii="Arial" w:hAnsi="Arial" w:cs="Times New Roman"/>
    </w:rPr>
  </w:style>
  <w:style w:type="paragraph" w:styleId="1747" w:customStyle="1">
    <w:name w:val="Номер части"/>
    <w:next w:val="1280"/>
    <w:pPr>
      <w:ind w:left="3969"/>
      <w:jc w:val="right"/>
      <w:keepLines/>
      <w:keepNext/>
      <w:pageBreakBefore/>
      <w:spacing w:before="1200"/>
    </w:pPr>
    <w:rPr>
      <w:rFonts w:ascii="Arial" w:hAnsi="Arial"/>
      <w:b/>
      <w:caps/>
      <w:sz w:val="48"/>
      <w:szCs w:val="80"/>
    </w:rPr>
  </w:style>
  <w:style w:type="character" w:styleId="1748" w:customStyle="1">
    <w:name w:val="Шапка Знак"/>
    <w:link w:val="1407"/>
    <w:rPr>
      <w:rFonts w:ascii="Arial" w:hAnsi="Arial" w:cs="Arial"/>
      <w:sz w:val="24"/>
      <w:shd w:val="pct20" w:color="auto" w:fill="auto"/>
    </w:rPr>
  </w:style>
  <w:style w:type="character" w:styleId="1749" w:customStyle="1">
    <w:name w:val="Моноширинный"/>
    <w:rPr>
      <w:rFonts w:ascii="Courier New" w:hAnsi="Courier New" w:cs="Times New Roman"/>
    </w:rPr>
  </w:style>
  <w:style w:type="paragraph" w:styleId="1750" w:customStyle="1">
    <w:name w:val="Заголовок (без уровня)"/>
    <w:basedOn w:val="1751"/>
    <w:next w:val="1280"/>
    <w:pPr>
      <w:jc w:val="center"/>
      <w:outlineLvl w:val="9"/>
    </w:pPr>
    <w:rPr>
      <w:i/>
      <w:sz w:val="40"/>
    </w:rPr>
  </w:style>
  <w:style w:type="paragraph" w:styleId="1751" w:customStyle="1">
    <w:name w:val="Заголовок 5 (дополнительный)"/>
    <w:basedOn w:val="1285"/>
    <w:next w:val="1280"/>
    <w:pPr>
      <w:numPr>
        <w:ilvl w:val="0"/>
        <w:numId w:val="0"/>
      </w:numPr>
      <w:contextualSpacing w:val="0"/>
      <w:spacing w:before="120"/>
      <w:tabs>
        <w:tab w:val="left" w:pos="1" w:leader="none"/>
        <w:tab w:val="left" w:pos="284" w:leader="none"/>
        <w:tab w:val="left" w:pos="851" w:leader="none"/>
        <w:tab w:val="clear" w:pos="1276" w:leader="none"/>
        <w:tab w:val="left" w:pos="1418" w:leader="none"/>
        <w:tab w:val="left" w:pos="1701" w:leader="none"/>
        <w:tab w:val="left" w:pos="1985" w:leader="none"/>
      </w:tabs>
    </w:pPr>
    <w:rPr>
      <w:bCs w:val="0"/>
      <w:sz w:val="26"/>
      <w:szCs w:val="28"/>
      <w:lang w:eastAsia="ru-RU"/>
    </w:rPr>
  </w:style>
  <w:style w:type="paragraph" w:styleId="1752" w:customStyle="1">
    <w:name w:val="Заголовок 2 (дополнительный)"/>
    <w:basedOn w:val="1282"/>
    <w:next w:val="1280"/>
    <w:pPr>
      <w:numPr>
        <w:ilvl w:val="0"/>
        <w:numId w:val="0"/>
      </w:numPr>
      <w:contextualSpacing w:val="0"/>
      <w:spacing w:before="120" w:after="120"/>
      <w:tabs>
        <w:tab w:val="left" w:pos="0" w:leader="none"/>
        <w:tab w:val="left" w:pos="1134" w:leader="none"/>
      </w:tabs>
    </w:pPr>
    <w:rPr>
      <w:rFonts w:eastAsia="Arial Unicode MS" w:cs="Times New Roman"/>
      <w:bCs w:val="0"/>
      <w:iCs w:val="0"/>
      <w:szCs w:val="44"/>
    </w:rPr>
  </w:style>
  <w:style w:type="paragraph" w:styleId="1753" w:customStyle="1">
    <w:name w:val="Заголовок 3 (дополнительный)"/>
    <w:basedOn w:val="1283"/>
    <w:next w:val="1280"/>
    <w:pPr>
      <w:numPr>
        <w:ilvl w:val="0"/>
        <w:numId w:val="0"/>
      </w:numPr>
      <w:contextualSpacing w:val="0"/>
      <w:spacing w:before="120" w:after="120"/>
      <w:tabs>
        <w:tab w:val="left" w:pos="0" w:leader="none"/>
        <w:tab w:val="left" w:pos="284" w:leader="none"/>
        <w:tab w:val="left" w:pos="568" w:leader="none"/>
        <w:tab w:val="left" w:pos="851" w:leader="none"/>
        <w:tab w:val="left" w:pos="1418" w:leader="none"/>
        <w:tab w:val="left" w:pos="1701" w:leader="none"/>
        <w:tab w:val="left" w:pos="1985" w:leader="none"/>
      </w:tabs>
    </w:pPr>
    <w:rPr>
      <w:rFonts w:cs="Times New Roman"/>
      <w:iCs w:val="0"/>
      <w:sz w:val="24"/>
      <w:szCs w:val="38"/>
    </w:rPr>
  </w:style>
  <w:style w:type="paragraph" w:styleId="1754" w:customStyle="1">
    <w:name w:val="Заголовок 4 (дополнительный)"/>
    <w:basedOn w:val="1284"/>
    <w:next w:val="1280"/>
    <w:pPr>
      <w:numPr>
        <w:ilvl w:val="0"/>
        <w:numId w:val="0"/>
      </w:numPr>
      <w:contextualSpacing w:val="0"/>
      <w:spacing w:after="120"/>
      <w:tabs>
        <w:tab w:val="left" w:pos="284" w:leader="none"/>
        <w:tab w:val="left" w:pos="568" w:leader="none"/>
        <w:tab w:val="left" w:pos="851" w:leader="none"/>
        <w:tab w:val="left" w:pos="1418" w:leader="none"/>
        <w:tab w:val="left" w:pos="1701" w:leader="none"/>
        <w:tab w:val="left" w:pos="1985" w:leader="none"/>
      </w:tabs>
    </w:pPr>
    <w:rPr>
      <w:rFonts w:cs="Times New Roman"/>
      <w:iCs w:val="0"/>
      <w:sz w:val="28"/>
      <w:szCs w:val="28"/>
    </w:rPr>
  </w:style>
  <w:style w:type="paragraph" w:styleId="1755" w:customStyle="1">
    <w:name w:val="Заголовок 6 (дополнительный)"/>
    <w:basedOn w:val="1286"/>
    <w:next w:val="1280"/>
    <w:pPr>
      <w:numPr>
        <w:ilvl w:val="0"/>
        <w:numId w:val="0"/>
      </w:numPr>
      <w:tabs>
        <w:tab w:val="left" w:pos="1" w:leader="none"/>
        <w:tab w:val="left" w:pos="284" w:leader="none"/>
        <w:tab w:val="left" w:pos="568" w:leader="none"/>
        <w:tab w:val="left" w:pos="851" w:leader="none"/>
        <w:tab w:val="left" w:pos="1134" w:leader="none"/>
        <w:tab w:val="left" w:pos="1701" w:leader="none"/>
        <w:tab w:val="left" w:pos="1985" w:leader="none"/>
      </w:tabs>
    </w:pPr>
    <w:rPr>
      <w:bCs/>
      <w:sz w:val="26"/>
      <w:szCs w:val="24"/>
    </w:rPr>
  </w:style>
  <w:style w:type="paragraph" w:styleId="1756" w:customStyle="1">
    <w:name w:val="Заголовок 7 (дополнительный)"/>
    <w:basedOn w:val="1287"/>
    <w:next w:val="1280"/>
    <w:pPr>
      <w:numPr>
        <w:ilvl w:val="0"/>
        <w:numId w:val="0"/>
      </w:numPr>
      <w:jc w:val="left"/>
      <w:keepLines/>
      <w:keepNext/>
      <w:spacing w:before="120" w:after="120"/>
      <w:tabs>
        <w:tab w:val="left" w:pos="1" w:leader="none"/>
        <w:tab w:val="left" w:pos="284" w:leader="none"/>
        <w:tab w:val="left" w:pos="568" w:leader="none"/>
        <w:tab w:val="left" w:pos="851" w:leader="none"/>
        <w:tab w:val="left" w:pos="1134" w:leader="none"/>
        <w:tab w:val="left" w:pos="1418" w:leader="none"/>
        <w:tab w:val="left" w:pos="1701" w:leader="none"/>
        <w:tab w:val="left" w:pos="1985" w:leader="none"/>
      </w:tabs>
    </w:pPr>
    <w:rPr>
      <w:b/>
      <w:i/>
      <w:sz w:val="28"/>
      <w:szCs w:val="24"/>
    </w:rPr>
  </w:style>
  <w:style w:type="paragraph" w:styleId="1757" w:customStyle="1">
    <w:name w:val="Заголовок 8 (дополнительный)"/>
    <w:basedOn w:val="1288"/>
    <w:next w:val="1280"/>
    <w:pPr>
      <w:numPr>
        <w:ilvl w:val="0"/>
        <w:numId w:val="0"/>
      </w:numPr>
      <w:jc w:val="left"/>
      <w:keepLines/>
      <w:keepNext/>
      <w:spacing w:before="120" w:after="120"/>
      <w:tabs>
        <w:tab w:val="left" w:pos="1" w:leader="none"/>
        <w:tab w:val="left" w:pos="284" w:leader="none"/>
        <w:tab w:val="left" w:pos="568" w:leader="none"/>
        <w:tab w:val="left" w:pos="851" w:leader="none"/>
        <w:tab w:val="left" w:pos="1134" w:leader="none"/>
        <w:tab w:val="left" w:pos="1418" w:leader="none"/>
        <w:tab w:val="left" w:pos="1701" w:leader="none"/>
        <w:tab w:val="left" w:pos="1985" w:leader="none"/>
      </w:tabs>
    </w:pPr>
    <w:rPr>
      <w:b/>
      <w:i w:val="0"/>
      <w:iCs w:val="0"/>
      <w:sz w:val="28"/>
      <w:szCs w:val="24"/>
    </w:rPr>
  </w:style>
  <w:style w:type="paragraph" w:styleId="1758" w:customStyle="1">
    <w:name w:val="Заголовок 9 (дополнительный)"/>
    <w:basedOn w:val="1289"/>
    <w:next w:val="1280"/>
    <w:pPr>
      <w:numPr>
        <w:ilvl w:val="0"/>
        <w:numId w:val="0"/>
      </w:numPr>
      <w:jc w:val="left"/>
      <w:keepLines/>
      <w:keepNext/>
      <w:spacing w:before="120" w:after="120"/>
      <w:tabs>
        <w:tab w:val="left" w:pos="1" w:leader="none"/>
        <w:tab w:val="left" w:pos="284" w:leader="none"/>
        <w:tab w:val="left" w:pos="568" w:leader="none"/>
        <w:tab w:val="left" w:pos="851" w:leader="none"/>
        <w:tab w:val="left" w:pos="1134" w:leader="none"/>
        <w:tab w:val="left" w:pos="1418" w:leader="none"/>
        <w:tab w:val="left" w:pos="1701" w:leader="none"/>
        <w:tab w:val="left" w:pos="1985" w:leader="none"/>
      </w:tabs>
    </w:pPr>
    <w:rPr>
      <w:rFonts w:ascii="Times New Roman" w:hAnsi="Times New Roman"/>
      <w:sz w:val="28"/>
      <w:szCs w:val="24"/>
    </w:rPr>
  </w:style>
  <w:style w:type="character" w:styleId="1759" w:customStyle="1">
    <w:name w:val="Подзаголовок Знак"/>
    <w:link w:val="1360"/>
    <w:rPr>
      <w:rFonts w:ascii="Arial" w:hAnsi="Arial" w:cs="Arial"/>
      <w:sz w:val="24"/>
    </w:rPr>
  </w:style>
  <w:style w:type="paragraph" w:styleId="1760" w:customStyle="1">
    <w:name w:val="Подзаголовок (без уровня)"/>
    <w:basedOn w:val="1360"/>
    <w:next w:val="1280"/>
    <w:pPr>
      <w:ind w:firstLine="0"/>
      <w:keepNext/>
      <w:pageBreakBefore/>
      <w:spacing w:before="120" w:after="120"/>
      <w:outlineLvl w:val="9"/>
    </w:pPr>
    <w:rPr>
      <w:rFonts w:ascii="Times New Roman" w:hAnsi="Times New Roman" w:cs="Times New Roman"/>
      <w:b/>
      <w:sz w:val="36"/>
      <w:szCs w:val="40"/>
    </w:rPr>
  </w:style>
  <w:style w:type="paragraph" w:styleId="1761" w:customStyle="1">
    <w:name w:val="Обычный (по центру)"/>
    <w:basedOn w:val="1280"/>
    <w:pPr>
      <w:ind w:left="1"/>
      <w:jc w:val="center"/>
      <w:spacing w:before="120" w:after="120"/>
    </w:pPr>
    <w:rPr>
      <w:sz w:val="28"/>
      <w:szCs w:val="24"/>
    </w:rPr>
  </w:style>
  <w:style w:type="paragraph" w:styleId="1762" w:customStyle="1">
    <w:name w:val="Обычный (по правому краю)"/>
    <w:basedOn w:val="1280"/>
    <w:pPr>
      <w:ind w:left="1"/>
      <w:jc w:val="right"/>
      <w:spacing w:before="120" w:after="120"/>
    </w:pPr>
    <w:rPr>
      <w:sz w:val="28"/>
      <w:szCs w:val="24"/>
    </w:rPr>
  </w:style>
  <w:style w:type="paragraph" w:styleId="1763" w:customStyle="1">
    <w:name w:val="Обычный (по левому краю)"/>
    <w:basedOn w:val="1280"/>
    <w:pPr>
      <w:ind w:left="1"/>
      <w:jc w:val="left"/>
      <w:spacing w:before="120" w:after="120"/>
    </w:pPr>
    <w:rPr>
      <w:sz w:val="28"/>
      <w:szCs w:val="24"/>
    </w:rPr>
  </w:style>
  <w:style w:type="paragraph" w:styleId="1764" w:customStyle="1">
    <w:name w:val="Базовый стиль надписей"/>
    <w:basedOn w:val="1713"/>
    <w:pPr>
      <w:jc w:val="center"/>
    </w:pPr>
  </w:style>
  <w:style w:type="paragraph" w:styleId="1765" w:customStyle="1">
    <w:name w:val="Надпись 1"/>
    <w:basedOn w:val="1764"/>
    <w:next w:val="1280"/>
    <w:rPr>
      <w:sz w:val="80"/>
    </w:rPr>
  </w:style>
  <w:style w:type="paragraph" w:styleId="1766" w:customStyle="1">
    <w:name w:val="Надпись 1 (прописные)"/>
    <w:basedOn w:val="1765"/>
    <w:next w:val="1280"/>
    <w:rPr>
      <w:caps/>
    </w:rPr>
  </w:style>
  <w:style w:type="paragraph" w:styleId="1767" w:customStyle="1">
    <w:name w:val="Надпись 2"/>
    <w:basedOn w:val="1764"/>
    <w:next w:val="1280"/>
    <w:rPr>
      <w:sz w:val="64"/>
    </w:rPr>
  </w:style>
  <w:style w:type="paragraph" w:styleId="1768" w:customStyle="1">
    <w:name w:val="Надпись 2 (прописные)"/>
    <w:basedOn w:val="1767"/>
    <w:next w:val="1280"/>
    <w:rPr>
      <w:caps/>
    </w:rPr>
  </w:style>
  <w:style w:type="paragraph" w:styleId="1769" w:customStyle="1">
    <w:name w:val="Надпись 3"/>
    <w:basedOn w:val="1764"/>
    <w:next w:val="1280"/>
    <w:rPr>
      <w:sz w:val="52"/>
    </w:rPr>
  </w:style>
  <w:style w:type="paragraph" w:styleId="1770" w:customStyle="1">
    <w:name w:val="Надпись 3 (прописные)"/>
    <w:basedOn w:val="1769"/>
    <w:next w:val="1280"/>
    <w:rPr>
      <w:caps/>
    </w:rPr>
  </w:style>
  <w:style w:type="paragraph" w:styleId="1771" w:customStyle="1">
    <w:name w:val="Надпись 4"/>
    <w:basedOn w:val="1764"/>
    <w:next w:val="1280"/>
    <w:rPr>
      <w:b/>
      <w:sz w:val="44"/>
    </w:rPr>
  </w:style>
  <w:style w:type="paragraph" w:styleId="1772" w:customStyle="1">
    <w:name w:val="Надпись 4 (прописные)"/>
    <w:basedOn w:val="1771"/>
    <w:next w:val="1280"/>
    <w:rPr>
      <w:caps/>
    </w:rPr>
  </w:style>
  <w:style w:type="paragraph" w:styleId="1773" w:customStyle="1">
    <w:name w:val="Надпись 5"/>
    <w:basedOn w:val="1764"/>
    <w:next w:val="1280"/>
    <w:rPr>
      <w:b/>
      <w:sz w:val="40"/>
    </w:rPr>
  </w:style>
  <w:style w:type="paragraph" w:styleId="1774" w:customStyle="1">
    <w:name w:val="Надпись 5 (прописные)"/>
    <w:basedOn w:val="1773"/>
    <w:next w:val="1280"/>
    <w:rPr>
      <w:caps/>
    </w:rPr>
  </w:style>
  <w:style w:type="paragraph" w:styleId="1775" w:customStyle="1">
    <w:name w:val="Надпись 6"/>
    <w:basedOn w:val="1764"/>
    <w:next w:val="1280"/>
    <w:rPr>
      <w:b/>
      <w:sz w:val="36"/>
    </w:rPr>
  </w:style>
  <w:style w:type="paragraph" w:styleId="1776" w:customStyle="1">
    <w:name w:val="Надпись 6 (прописные)"/>
    <w:basedOn w:val="1775"/>
    <w:next w:val="1280"/>
    <w:rPr>
      <w:caps/>
    </w:rPr>
  </w:style>
  <w:style w:type="paragraph" w:styleId="1777" w:customStyle="1">
    <w:name w:val="Надпись 7"/>
    <w:basedOn w:val="1764"/>
    <w:next w:val="1280"/>
    <w:rPr>
      <w:b/>
      <w:sz w:val="32"/>
    </w:rPr>
  </w:style>
  <w:style w:type="paragraph" w:styleId="1778" w:customStyle="1">
    <w:name w:val="Надпись 7 (прописные)"/>
    <w:basedOn w:val="1777"/>
    <w:next w:val="1280"/>
    <w:rPr>
      <w:caps/>
    </w:rPr>
  </w:style>
  <w:style w:type="paragraph" w:styleId="1779" w:customStyle="1">
    <w:name w:val="Надпись 8"/>
    <w:basedOn w:val="1764"/>
    <w:next w:val="1280"/>
    <w:rPr>
      <w:b/>
    </w:rPr>
  </w:style>
  <w:style w:type="paragraph" w:styleId="1780" w:customStyle="1">
    <w:name w:val="Надпись 8 (прописные)"/>
    <w:basedOn w:val="1779"/>
    <w:next w:val="1280"/>
    <w:rPr>
      <w:caps/>
    </w:rPr>
  </w:style>
  <w:style w:type="paragraph" w:styleId="1781" w:customStyle="1">
    <w:name w:val="Надпись 9"/>
    <w:basedOn w:val="1764"/>
    <w:next w:val="1280"/>
    <w:rPr>
      <w:sz w:val="24"/>
    </w:rPr>
  </w:style>
  <w:style w:type="paragraph" w:styleId="1782" w:customStyle="1">
    <w:name w:val="Надпись 9 (прописные)"/>
    <w:basedOn w:val="1781"/>
    <w:next w:val="1280"/>
    <w:rPr>
      <w:caps/>
    </w:rPr>
  </w:style>
  <w:style w:type="paragraph" w:styleId="1783" w:customStyle="1">
    <w:name w:val="Заголовок части"/>
    <w:basedOn w:val="1712"/>
    <w:next w:val="1280"/>
    <w:pPr>
      <w:jc w:val="center"/>
      <w:spacing w:before="1200" w:after="2600"/>
      <w:outlineLvl w:val="0"/>
    </w:pPr>
    <w:rPr>
      <w:caps/>
      <w:sz w:val="48"/>
      <w:szCs w:val="60"/>
    </w:rPr>
  </w:style>
  <w:style w:type="paragraph" w:styleId="1784" w:customStyle="1">
    <w:name w:val="Название таблицы (по правому краю)"/>
    <w:basedOn w:val="1567"/>
    <w:next w:val="1280"/>
    <w:pPr>
      <w:jc w:val="right"/>
    </w:pPr>
  </w:style>
  <w:style w:type="paragraph" w:styleId="1785" w:customStyle="1">
    <w:name w:val="Подзаголовок приложения"/>
    <w:basedOn w:val="1712"/>
    <w:next w:val="1280"/>
    <w:pPr>
      <w:ind w:left="0"/>
      <w:jc w:val="center"/>
      <w:spacing w:after="200"/>
    </w:pPr>
    <w:rPr>
      <w:sz w:val="32"/>
    </w:rPr>
  </w:style>
  <w:style w:type="paragraph" w:styleId="1786" w:customStyle="1">
    <w:name w:val="Заголовок приложения"/>
    <w:basedOn w:val="1360"/>
    <w:pPr>
      <w:ind w:firstLine="0"/>
      <w:jc w:val="right"/>
      <w:keepNext/>
      <w:pageBreakBefore/>
      <w:spacing w:before="120" w:after="120"/>
      <w:outlineLvl w:val="0"/>
    </w:pPr>
    <w:rPr>
      <w:rFonts w:ascii="Times New Roman" w:hAnsi="Times New Roman" w:cs="Times New Roman"/>
      <w:b/>
      <w:sz w:val="36"/>
      <w:szCs w:val="40"/>
    </w:rPr>
  </w:style>
  <w:style w:type="paragraph" w:styleId="1787" w:customStyle="1">
    <w:name w:val="Тип приложения"/>
    <w:basedOn w:val="1786"/>
    <w:next w:val="1785"/>
    <w:pPr>
      <w:pageBreakBefore w:val="0"/>
      <w:outlineLvl w:val="9"/>
    </w:pPr>
    <w:rPr>
      <w:b w:val="0"/>
      <w:caps/>
      <w:sz w:val="24"/>
    </w:rPr>
  </w:style>
  <w:style w:type="character" w:styleId="1788" w:customStyle="1">
    <w:name w:val="_GOST_Report_error"/>
  </w:style>
  <w:style w:type="paragraph" w:styleId="1789" w:customStyle="1">
    <w:name w:val="ТЛ_Название_программы"/>
    <w:basedOn w:val="1713"/>
    <w:pPr>
      <w:jc w:val="center"/>
    </w:pPr>
    <w:rPr>
      <w:caps/>
    </w:rPr>
  </w:style>
  <w:style w:type="paragraph" w:styleId="1790" w:customStyle="1">
    <w:name w:val="ТЛ_Название_документа"/>
    <w:basedOn w:val="1713"/>
    <w:pPr>
      <w:jc w:val="center"/>
    </w:pPr>
    <w:rPr>
      <w:caps/>
    </w:rPr>
  </w:style>
  <w:style w:type="paragraph" w:styleId="1791" w:customStyle="1">
    <w:name w:val="Лист_утверждения"/>
    <w:basedOn w:val="1713"/>
    <w:pPr>
      <w:jc w:val="center"/>
    </w:pPr>
    <w:rPr>
      <w:caps/>
      <w:sz w:val="32"/>
    </w:rPr>
  </w:style>
  <w:style w:type="paragraph" w:styleId="1792" w:customStyle="1">
    <w:name w:val="ТЛ_Название_учреждения"/>
    <w:basedOn w:val="1713"/>
    <w:pPr>
      <w:jc w:val="center"/>
    </w:pPr>
    <w:rPr>
      <w:caps/>
    </w:rPr>
  </w:style>
  <w:style w:type="paragraph" w:styleId="1793" w:customStyle="1">
    <w:name w:val="Титул_абзац_ГОСТ_Утверждено_Согласовано"/>
    <w:basedOn w:val="1280"/>
    <w:pPr>
      <w:ind w:left="-850" w:firstLine="0"/>
      <w:jc w:val="right"/>
      <w:spacing w:before="120" w:after="120"/>
    </w:pPr>
    <w:rPr>
      <w:caps/>
      <w:sz w:val="28"/>
      <w:szCs w:val="28"/>
    </w:rPr>
  </w:style>
  <w:style w:type="paragraph" w:styleId="1794" w:customStyle="1">
    <w:name w:val="Титул_абзац_ГОСТ_Текст_Утверждено_Согласовано"/>
    <w:basedOn w:val="1280"/>
    <w:pPr>
      <w:ind w:left="-850" w:firstLine="0"/>
      <w:jc w:val="right"/>
      <w:spacing w:before="120" w:after="160"/>
    </w:pPr>
    <w:rPr>
      <w:sz w:val="28"/>
      <w:szCs w:val="24"/>
    </w:rPr>
  </w:style>
  <w:style w:type="paragraph" w:styleId="1795" w:customStyle="1">
    <w:name w:val="Титул_абзац_ГОСТ_ЛУ_Наименование_программы"/>
    <w:basedOn w:val="1280"/>
    <w:pPr>
      <w:ind w:firstLine="0"/>
      <w:jc w:val="center"/>
      <w:spacing w:before="120" w:after="120"/>
    </w:pPr>
    <w:rPr>
      <w:caps/>
      <w:sz w:val="32"/>
      <w:szCs w:val="32"/>
    </w:rPr>
  </w:style>
  <w:style w:type="paragraph" w:styleId="1796" w:customStyle="1">
    <w:name w:val="Титул_абзац_ГОСТ_ЛУ_Наименование_документа"/>
    <w:basedOn w:val="1280"/>
    <w:pPr>
      <w:ind w:firstLine="0"/>
      <w:jc w:val="center"/>
      <w:spacing w:before="120" w:after="120"/>
    </w:pPr>
    <w:rPr>
      <w:b/>
      <w:sz w:val="32"/>
      <w:szCs w:val="24"/>
    </w:rPr>
  </w:style>
  <w:style w:type="paragraph" w:styleId="1797" w:customStyle="1">
    <w:name w:val="Титул_абзац_ГОСТ_ЛУ_Вид_документа"/>
    <w:basedOn w:val="1280"/>
    <w:pPr>
      <w:ind w:firstLine="0"/>
      <w:jc w:val="center"/>
      <w:spacing w:before="120" w:after="120"/>
    </w:pPr>
    <w:rPr>
      <w:sz w:val="28"/>
      <w:szCs w:val="24"/>
    </w:rPr>
  </w:style>
  <w:style w:type="paragraph" w:styleId="1798" w:customStyle="1">
    <w:name w:val="Титул_абзац_ГОСТ_Лист_утверждения"/>
    <w:basedOn w:val="1280"/>
    <w:pPr>
      <w:ind w:left="-850" w:firstLine="0"/>
      <w:jc w:val="center"/>
      <w:spacing w:before="120" w:after="120"/>
    </w:pPr>
    <w:rPr>
      <w:b/>
      <w:sz w:val="52"/>
      <w:szCs w:val="48"/>
    </w:rPr>
  </w:style>
  <w:style w:type="paragraph" w:styleId="1799" w:customStyle="1">
    <w:name w:val="Титул_абзац_ГОСТ_ЛУ_Обозначение_документа"/>
    <w:basedOn w:val="1280"/>
    <w:pPr>
      <w:ind w:firstLine="0"/>
      <w:jc w:val="center"/>
      <w:spacing w:before="120" w:after="120"/>
    </w:pPr>
    <w:rPr>
      <w:sz w:val="28"/>
      <w:szCs w:val="24"/>
    </w:rPr>
  </w:style>
  <w:style w:type="paragraph" w:styleId="1800" w:customStyle="1">
    <w:name w:val="Титул_абзац_ГОСТ_Объем_документа"/>
    <w:basedOn w:val="1280"/>
    <w:pPr>
      <w:ind w:left="-850" w:firstLine="0"/>
      <w:jc w:val="center"/>
      <w:spacing w:before="120" w:after="120"/>
    </w:pPr>
    <w:rPr>
      <w:sz w:val="28"/>
      <w:szCs w:val="24"/>
    </w:rPr>
  </w:style>
  <w:style w:type="paragraph" w:styleId="1801" w:customStyle="1">
    <w:name w:val="Титул_абзац_ГОСТ_ЛУ_Согласовано_подписи"/>
    <w:basedOn w:val="1794"/>
    <w:pPr>
      <w:spacing w:after="0"/>
    </w:pPr>
  </w:style>
  <w:style w:type="paragraph" w:styleId="1802" w:customStyle="1">
    <w:name w:val="Титул_абзац_ГОСТ_Год_издания"/>
    <w:basedOn w:val="1280"/>
    <w:pPr>
      <w:ind w:left="-850" w:firstLine="0"/>
      <w:jc w:val="center"/>
      <w:spacing w:before="120" w:after="120"/>
    </w:pPr>
    <w:rPr>
      <w:rFonts w:ascii="Arial" w:hAnsi="Arial"/>
      <w:sz w:val="28"/>
      <w:szCs w:val="24"/>
    </w:rPr>
  </w:style>
  <w:style w:type="paragraph" w:styleId="1803">
    <w:name w:val="endnote text"/>
    <w:basedOn w:val="1353"/>
    <w:link w:val="1804"/>
    <w:uiPriority w:val="99"/>
    <w:pPr>
      <w:ind w:left="850"/>
      <w:jc w:val="both"/>
      <w:spacing w:before="120" w:after="120"/>
    </w:pPr>
  </w:style>
  <w:style w:type="character" w:styleId="1804" w:customStyle="1">
    <w:name w:val="Текст концевой сноски Знак"/>
    <w:basedOn w:val="1290"/>
    <w:link w:val="1803"/>
    <w:uiPriority w:val="99"/>
  </w:style>
  <w:style w:type="character" w:styleId="1805">
    <w:name w:val="endnote reference"/>
    <w:uiPriority w:val="99"/>
  </w:style>
  <w:style w:type="paragraph" w:styleId="1806" w:customStyle="1">
    <w:name w:val="Табличный (по левому краю)"/>
    <w:basedOn w:val="1562"/>
  </w:style>
  <w:style w:type="paragraph" w:styleId="1807" w:customStyle="1">
    <w:name w:val="Табличный (по центру)"/>
    <w:basedOn w:val="1562"/>
    <w:pPr>
      <w:jc w:val="center"/>
    </w:pPr>
  </w:style>
  <w:style w:type="paragraph" w:styleId="1808" w:customStyle="1">
    <w:name w:val="Табличный (по правому краю)"/>
    <w:basedOn w:val="1562"/>
    <w:pPr>
      <w:jc w:val="right"/>
    </w:pPr>
  </w:style>
  <w:style w:type="paragraph" w:styleId="1809" w:customStyle="1">
    <w:name w:val="Базовый дополнительный список (тбл)"/>
    <w:basedOn w:val="1728"/>
    <w:pPr>
      <w:ind w:left="567" w:hanging="567"/>
    </w:pPr>
  </w:style>
  <w:style w:type="paragraph" w:styleId="1810" w:customStyle="1">
    <w:name w:val="Список (тбл)"/>
    <w:basedOn w:val="1809"/>
    <w:pPr>
      <w:ind w:left="397" w:hanging="397"/>
    </w:pPr>
  </w:style>
  <w:style w:type="paragraph" w:styleId="1811" w:customStyle="1">
    <w:name w:val="Список 2 (тбл)"/>
    <w:basedOn w:val="1809"/>
    <w:pPr>
      <w:ind w:left="1134" w:hanging="397"/>
    </w:pPr>
  </w:style>
  <w:style w:type="paragraph" w:styleId="1812" w:customStyle="1">
    <w:name w:val="Список 3 (тбл)"/>
    <w:basedOn w:val="1809"/>
    <w:pPr>
      <w:ind w:left="1701" w:hanging="397"/>
    </w:pPr>
  </w:style>
  <w:style w:type="paragraph" w:styleId="1813" w:customStyle="1">
    <w:name w:val="Список 4 (тбл)"/>
    <w:basedOn w:val="1809"/>
    <w:pPr>
      <w:ind w:left="2268" w:hanging="397"/>
    </w:pPr>
  </w:style>
  <w:style w:type="paragraph" w:styleId="1814" w:customStyle="1">
    <w:name w:val="Список 5 (тбл)"/>
    <w:basedOn w:val="1809"/>
    <w:pPr>
      <w:ind w:left="2835"/>
    </w:pPr>
  </w:style>
  <w:style w:type="paragraph" w:styleId="1815" w:customStyle="1">
    <w:name w:val="_GOST_List_normal_2"/>
    <w:pPr>
      <w:contextualSpacing/>
      <w:ind w:left="1134"/>
      <w:jc w:val="both"/>
      <w:spacing w:before="60" w:after="60"/>
      <w:tabs>
        <w:tab w:val="left" w:pos="1134" w:leader="none"/>
      </w:tabs>
    </w:pPr>
    <w:rPr>
      <w:sz w:val="24"/>
    </w:rPr>
  </w:style>
  <w:style w:type="paragraph" w:styleId="1816" w:customStyle="1">
    <w:name w:val="Титул_абзац_Эмблема компании"/>
    <w:basedOn w:val="1280"/>
    <w:pPr>
      <w:ind w:left="-850" w:firstLine="0"/>
      <w:jc w:val="center"/>
      <w:spacing w:before="120"/>
    </w:pPr>
    <w:rPr>
      <w:rFonts w:ascii="Arial" w:hAnsi="Arial"/>
      <w:sz w:val="16"/>
      <w:szCs w:val="24"/>
      <w:lang w:val="en-US"/>
    </w:rPr>
  </w:style>
  <w:style w:type="paragraph" w:styleId="1817" w:customStyle="1">
    <w:name w:val="Базовый указатель"/>
    <w:basedOn w:val="1280"/>
    <w:pPr>
      <w:spacing w:before="120" w:after="120"/>
    </w:pPr>
    <w:rPr>
      <w:sz w:val="28"/>
      <w:szCs w:val="24"/>
    </w:rPr>
  </w:style>
  <w:style w:type="paragraph" w:styleId="1818" w:customStyle="1">
    <w:name w:val="Название2"/>
    <w:basedOn w:val="1280"/>
    <w:pPr>
      <w:ind w:firstLine="0"/>
      <w:jc w:val="center"/>
      <w:spacing w:before="360" w:after="120"/>
    </w:pPr>
    <w:rPr>
      <w:b/>
      <w:sz w:val="40"/>
      <w:szCs w:val="24"/>
    </w:rPr>
  </w:style>
  <w:style w:type="paragraph" w:styleId="1819" w:customStyle="1">
    <w:name w:val="Название3"/>
    <w:basedOn w:val="1818"/>
    <w:pPr>
      <w:spacing w:before="8400"/>
    </w:pPr>
    <w:rPr>
      <w:b w:val="0"/>
      <w:sz w:val="24"/>
    </w:rPr>
  </w:style>
  <w:style w:type="paragraph" w:styleId="1820" w:customStyle="1">
    <w:name w:val="Заголовок 11"/>
    <w:basedOn w:val="1712"/>
    <w:next w:val="1280"/>
    <w:qFormat/>
    <w:pPr>
      <w:ind w:hanging="1"/>
      <w:jc w:val="center"/>
      <w:keepLines/>
      <w:pageBreakBefore/>
      <w:spacing w:before="240" w:after="60"/>
      <w:tabs>
        <w:tab w:val="clear" w:pos="1134" w:leader="none"/>
      </w:tabs>
    </w:pPr>
    <w:rPr>
      <w:sz w:val="32"/>
      <w:szCs w:val="44"/>
    </w:rPr>
  </w:style>
  <w:style w:type="character" w:styleId="1821" w:customStyle="1">
    <w:name w:val="Знак Знак32"/>
    <w:rPr>
      <w:b/>
      <w:sz w:val="32"/>
      <w:szCs w:val="44"/>
      <w:lang w:val="ru-RU" w:eastAsia="ru-RU" w:bidi="ar-SA"/>
    </w:rPr>
  </w:style>
  <w:style w:type="character" w:styleId="1822" w:customStyle="1">
    <w:name w:val="Знак Знак16"/>
    <w:rPr>
      <w:rFonts w:ascii="Arial" w:hAnsi="Arial"/>
      <w:i/>
      <w:sz w:val="18"/>
      <w:szCs w:val="24"/>
      <w:lang w:val="ru-RU" w:eastAsia="ru-RU" w:bidi="ar-SA"/>
    </w:rPr>
  </w:style>
  <w:style w:type="paragraph" w:styleId="1823" w:customStyle="1">
    <w:name w:val="Заголовок таблицы"/>
    <w:basedOn w:val="1280"/>
    <w:qFormat/>
    <w:pPr>
      <w:jc w:val="center"/>
      <w:spacing w:before="60" w:after="120"/>
    </w:pPr>
    <w:rPr>
      <w:rFonts w:ascii="Calibri" w:hAnsi="Calibri"/>
      <w:b/>
      <w:sz w:val="20"/>
      <w:szCs w:val="22"/>
    </w:rPr>
  </w:style>
  <w:style w:type="character" w:styleId="1824" w:customStyle="1">
    <w:name w:val="z-treecell-text"/>
  </w:style>
  <w:style w:type="paragraph" w:styleId="1825" w:customStyle="1">
    <w:name w:val="ConsPlusNormal"/>
    <w:pPr>
      <w:widowControl w:val="off"/>
    </w:pPr>
    <w:rPr>
      <w:rFonts w:ascii="Arial" w:hAnsi="Arial" w:cs="Arial"/>
    </w:rPr>
  </w:style>
  <w:style w:type="paragraph" w:styleId="1826" w:customStyle="1">
    <w:name w:val="_ASFK_List_num1"/>
    <w:semiHidden/>
    <w:pPr>
      <w:numPr>
        <w:ilvl w:val="0"/>
        <w:numId w:val="50"/>
      </w:numPr>
      <w:contextualSpacing/>
      <w:spacing w:before="120" w:after="120"/>
    </w:pPr>
    <w:rPr>
      <w:sz w:val="24"/>
    </w:rPr>
  </w:style>
  <w:style w:type="character" w:styleId="1827" w:customStyle="1">
    <w:name w:val="z-radio"/>
  </w:style>
  <w:style w:type="character" w:styleId="1828" w:customStyle="1">
    <w:name w:val="Знак Знак321"/>
    <w:rPr>
      <w:b/>
      <w:sz w:val="32"/>
      <w:szCs w:val="44"/>
      <w:lang w:val="ru-RU" w:eastAsia="ru-RU" w:bidi="ar-SA"/>
    </w:rPr>
  </w:style>
  <w:style w:type="character" w:styleId="1829" w:customStyle="1">
    <w:name w:val="Знак Знак161"/>
    <w:rPr>
      <w:rFonts w:ascii="Arial" w:hAnsi="Arial"/>
      <w:i/>
      <w:sz w:val="18"/>
      <w:szCs w:val="24"/>
      <w:lang w:val="ru-RU" w:eastAsia="ru-RU" w:bidi="ar-SA"/>
    </w:rPr>
  </w:style>
  <w:style w:type="character" w:styleId="1830" w:customStyle="1">
    <w:name w:val="OTR_Table_Num Знак"/>
    <w:link w:val="1831"/>
    <w:rPr>
      <w:sz w:val="24"/>
    </w:rPr>
  </w:style>
  <w:style w:type="paragraph" w:styleId="1831" w:customStyle="1">
    <w:name w:val="OTR_Table_Num"/>
    <w:basedOn w:val="1280"/>
    <w:link w:val="1830"/>
    <w:pPr>
      <w:ind w:left="426" w:hanging="284"/>
      <w:jc w:val="left"/>
      <w:spacing w:before="60" w:after="60"/>
      <w:tabs>
        <w:tab w:val="num" w:pos="142" w:leader="none"/>
      </w:tabs>
    </w:pPr>
  </w:style>
  <w:style w:type="paragraph" w:styleId="1832" w:customStyle="1">
    <w:name w:val="Заголовки без нумерации"/>
    <w:basedOn w:val="1281"/>
    <w:next w:val="1441"/>
    <w:pPr>
      <w:numPr>
        <w:ilvl w:val="0"/>
        <w:numId w:val="0"/>
      </w:numPr>
      <w:contextualSpacing w:val="0"/>
      <w:jc w:val="left"/>
      <w:pageBreakBefore w:val="0"/>
      <w:spacing w:before="360" w:after="120"/>
    </w:pPr>
    <w:rPr>
      <w:rFonts w:ascii="Arial" w:hAnsi="Arial"/>
      <w:bCs/>
      <w:caps w:val="0"/>
      <w:color w:val="000000"/>
      <w:sz w:val="36"/>
      <w:szCs w:val="20"/>
    </w:rPr>
  </w:style>
  <w:style w:type="paragraph" w:styleId="1833" w:customStyle="1">
    <w:name w:val="Основной текст (без отступа)"/>
    <w:basedOn w:val="1441"/>
    <w:pPr>
      <w:ind w:firstLine="0"/>
      <w:spacing w:before="120" w:after="120"/>
    </w:pPr>
    <w:rPr>
      <w:color w:val="000000"/>
      <w:sz w:val="28"/>
    </w:rPr>
  </w:style>
  <w:style w:type="paragraph" w:styleId="1834" w:customStyle="1">
    <w:name w:val="я_технический стиль &quot;перечень&quot;"/>
    <w:basedOn w:val="1280"/>
    <w:qFormat/>
    <w:pPr>
      <w:ind w:firstLine="0"/>
      <w:spacing w:before="60" w:after="60"/>
      <w:tabs>
        <w:tab w:val="right" w:pos="9627" w:leader="dot"/>
      </w:tabs>
    </w:pPr>
    <w:rPr>
      <w:color w:val="000000"/>
      <w:sz w:val="28"/>
    </w:rPr>
  </w:style>
  <w:style w:type="paragraph" w:styleId="1835" w:customStyle="1">
    <w:name w:val="Пункт 2 уровня"/>
    <w:basedOn w:val="1282"/>
    <w:link w:val="1836"/>
    <w:pPr>
      <w:contextualSpacing w:val="0"/>
      <w:ind w:left="0" w:firstLine="0"/>
      <w:jc w:val="both"/>
      <w:keepNext w:val="0"/>
      <w:spacing w:before="120" w:after="120"/>
    </w:pPr>
    <w:rPr>
      <w:rFonts w:cs="Times New Roman"/>
      <w:b w:val="0"/>
      <w:iCs w:val="0"/>
      <w:color w:val="000000"/>
      <w:sz w:val="28"/>
      <w:szCs w:val="20"/>
    </w:rPr>
  </w:style>
  <w:style w:type="character" w:styleId="1836" w:customStyle="1">
    <w:name w:val="Пункт 2 уровня Знак"/>
    <w:link w:val="1835"/>
    <w:rPr>
      <w:bCs/>
      <w:color w:val="000000"/>
      <w:sz w:val="28"/>
    </w:rPr>
  </w:style>
  <w:style w:type="paragraph" w:styleId="1837" w:customStyle="1">
    <w:name w:val="Заг 4.КД_"/>
    <w:next w:val="1280"/>
    <w:pPr>
      <w:numPr>
        <w:ilvl w:val="1"/>
        <w:numId w:val="51"/>
      </w:numPr>
      <w:ind w:left="0" w:firstLine="0"/>
      <w:spacing w:before="120"/>
      <w:tabs>
        <w:tab w:val="clear" w:pos="861" w:leader="none"/>
        <w:tab w:val="num" w:pos="900" w:leader="none"/>
      </w:tabs>
    </w:pPr>
    <w:rPr>
      <w:b/>
      <w:bCs/>
      <w:sz w:val="28"/>
      <w:szCs w:val="28"/>
      <w:lang w:eastAsia="en-US"/>
    </w:rPr>
  </w:style>
  <w:style w:type="paragraph" w:styleId="1838" w:customStyle="1">
    <w:name w:val="Заг 3.КД_03"/>
    <w:next w:val="1280"/>
    <w:pPr>
      <w:numPr>
        <w:ilvl w:val="0"/>
        <w:numId w:val="51"/>
      </w:numPr>
      <w:ind w:left="0" w:firstLine="0"/>
      <w:spacing w:before="120"/>
      <w:tabs>
        <w:tab w:val="num" w:pos="540" w:leader="none"/>
        <w:tab w:val="clear" w:pos="1080" w:leader="none"/>
      </w:tabs>
    </w:pPr>
    <w:rPr>
      <w:b/>
      <w:bCs/>
      <w:sz w:val="28"/>
      <w:szCs w:val="28"/>
      <w:lang w:eastAsia="en-US"/>
    </w:rPr>
  </w:style>
  <w:style w:type="character" w:styleId="1839" w:customStyle="1">
    <w:name w:val="Текст Знак"/>
    <w:basedOn w:val="1290"/>
    <w:link w:val="1400"/>
    <w:rPr>
      <w:rFonts w:ascii="Courier New" w:hAnsi="Courier New" w:cs="Courier New"/>
    </w:rPr>
  </w:style>
  <w:style w:type="paragraph" w:styleId="1840" w:customStyle="1">
    <w:name w:val="Список маркированный уровень 1"/>
    <w:basedOn w:val="1280"/>
    <w:pPr>
      <w:numPr>
        <w:ilvl w:val="0"/>
        <w:numId w:val="52"/>
      </w:numPr>
      <w:ind w:left="992" w:hanging="425"/>
      <w:keepLines/>
      <w:spacing w:before="120" w:after="120"/>
      <w:tabs>
        <w:tab w:val="clear" w:pos="284" w:leader="none"/>
      </w:tabs>
    </w:pPr>
    <w:rPr>
      <w:sz w:val="28"/>
    </w:rPr>
  </w:style>
  <w:style w:type="character" w:styleId="1841" w:customStyle="1">
    <w:name w:val="_EB_List_num Знак"/>
    <w:link w:val="1491"/>
    <w:semiHidden/>
    <w:rPr>
      <w:sz w:val="28"/>
      <w:szCs w:val="24"/>
    </w:rPr>
  </w:style>
  <w:style w:type="character" w:styleId="1842" w:customStyle="1">
    <w:name w:val="Название объекта Знак"/>
    <w:link w:val="1330"/>
    <w:rPr>
      <w:b/>
      <w:bCs/>
    </w:rPr>
  </w:style>
  <w:style w:type="paragraph" w:styleId="1843" w:customStyle="1">
    <w:name w:val="OTR_List_lit"/>
    <w:basedOn w:val="1280"/>
    <w:pPr>
      <w:numPr>
        <w:ilvl w:val="0"/>
        <w:numId w:val="53"/>
      </w:numPr>
      <w:keepNext/>
      <w:spacing w:before="120" w:after="120"/>
    </w:pPr>
    <w:rPr>
      <w:bCs/>
      <w:color w:val="000000"/>
    </w:rPr>
  </w:style>
  <w:style w:type="character" w:styleId="1844" w:customStyle="1">
    <w:name w:val="_GOST_Normal Знак"/>
    <w:link w:val="1305"/>
    <w:qFormat/>
    <w:rPr>
      <w:sz w:val="24"/>
    </w:rPr>
  </w:style>
  <w:style w:type="paragraph" w:styleId="1845" w:customStyle="1">
    <w:name w:val="Table Cell L"/>
    <w:basedOn w:val="1280"/>
    <w:pPr>
      <w:ind w:left="57" w:right="57" w:firstLine="0"/>
      <w:jc w:val="left"/>
      <w:widowControl w:val="off"/>
    </w:pPr>
  </w:style>
  <w:style w:type="paragraph" w:styleId="1846" w:customStyle="1">
    <w:name w:val="Обычный текст"/>
    <w:basedOn w:val="1280"/>
    <w:link w:val="1847"/>
    <w:pPr>
      <w:ind w:left="68" w:right="57" w:firstLine="720"/>
      <w:spacing w:line="288" w:lineRule="auto"/>
    </w:pPr>
    <w:rPr>
      <w:rFonts w:eastAsia="Calibri"/>
      <w:sz w:val="28"/>
      <w:szCs w:val="24"/>
    </w:rPr>
  </w:style>
  <w:style w:type="character" w:styleId="1847" w:customStyle="1">
    <w:name w:val="Обычный текст Знак"/>
    <w:link w:val="1846"/>
    <w:rPr>
      <w:rFonts w:eastAsia="Calibri"/>
      <w:sz w:val="28"/>
      <w:szCs w:val="24"/>
    </w:rPr>
  </w:style>
  <w:style w:type="numbering" w:styleId="1848" w:customStyle="1">
    <w:name w:val="Стиль2"/>
    <w:uiPriority w:val="99"/>
    <w:pPr>
      <w:numPr>
        <w:ilvl w:val="0"/>
        <w:numId w:val="55"/>
      </w:numPr>
    </w:pPr>
  </w:style>
  <w:style w:type="numbering" w:styleId="1849" w:customStyle="1">
    <w:name w:val="Стиль1"/>
    <w:basedOn w:val="1292"/>
    <w:uiPriority w:val="99"/>
    <w:pPr>
      <w:numPr>
        <w:ilvl w:val="0"/>
        <w:numId w:val="54"/>
      </w:numPr>
    </w:pPr>
  </w:style>
  <w:style w:type="numbering" w:styleId="1850" w:customStyle="1">
    <w:name w:val="Стиль3"/>
    <w:uiPriority w:val="99"/>
    <w:pPr>
      <w:numPr>
        <w:ilvl w:val="0"/>
        <w:numId w:val="56"/>
      </w:numPr>
    </w:pPr>
  </w:style>
  <w:style w:type="paragraph" w:styleId="1851" w:customStyle="1">
    <w:name w:val="Список маркированный"/>
    <w:basedOn w:val="1280"/>
    <w:semiHidden/>
    <w:pPr>
      <w:numPr>
        <w:ilvl w:val="0"/>
        <w:numId w:val="57"/>
      </w:numPr>
      <w:ind w:left="68" w:right="57" w:firstLine="0"/>
      <w:tabs>
        <w:tab w:val="num" w:pos="360" w:leader="none"/>
        <w:tab w:val="clear" w:pos="992" w:leader="none"/>
        <w:tab w:val="left" w:pos="1080" w:leader="none"/>
      </w:tabs>
    </w:pPr>
    <w:rPr>
      <w:rFonts w:eastAsia="Calibri"/>
      <w:szCs w:val="24"/>
    </w:rPr>
  </w:style>
  <w:style w:type="paragraph" w:styleId="1852" w:customStyle="1">
    <w:name w:val="Маркир. 1"/>
    <w:basedOn w:val="1280"/>
    <w:link w:val="1853"/>
    <w:qFormat/>
    <w:pPr>
      <w:numPr>
        <w:ilvl w:val="0"/>
        <w:numId w:val="58"/>
      </w:numPr>
      <w:ind w:right="57"/>
      <w:spacing w:before="120" w:after="120" w:line="360" w:lineRule="exact"/>
      <w:tabs>
        <w:tab w:val="left" w:pos="170" w:leader="none"/>
      </w:tabs>
    </w:pPr>
    <w:rPr>
      <w:sz w:val="28"/>
    </w:rPr>
  </w:style>
  <w:style w:type="character" w:styleId="1853" w:customStyle="1">
    <w:name w:val="Маркир. 1 Знак"/>
    <w:basedOn w:val="1290"/>
    <w:link w:val="1852"/>
    <w:rPr>
      <w:sz w:val="28"/>
    </w:rPr>
  </w:style>
  <w:style w:type="paragraph" w:styleId="1854" w:customStyle="1">
    <w:name w:val="Стиль _ASFK_Name_Table + 12 пт"/>
    <w:basedOn w:val="1280"/>
    <w:link w:val="1855"/>
    <w:pPr>
      <w:ind w:left="68" w:right="57" w:firstLine="0"/>
      <w:jc w:val="left"/>
      <w:keepNext/>
      <w:spacing w:before="240" w:after="120"/>
      <w:tabs>
        <w:tab w:val="num" w:pos="567" w:leader="none"/>
      </w:tabs>
    </w:pPr>
    <w:rPr>
      <w:rFonts w:eastAsia="Calibri"/>
      <w:b/>
      <w:sz w:val="28"/>
      <w:szCs w:val="24"/>
    </w:rPr>
  </w:style>
  <w:style w:type="character" w:styleId="1855" w:customStyle="1">
    <w:name w:val="Стиль _ASFK_Name_Table + 12 пт Знак"/>
    <w:link w:val="1854"/>
    <w:rPr>
      <w:rFonts w:eastAsia="Calibri"/>
      <w:b/>
      <w:sz w:val="28"/>
      <w:szCs w:val="24"/>
    </w:rPr>
  </w:style>
  <w:style w:type="paragraph" w:styleId="1856" w:customStyle="1">
    <w:name w:val="Текст документа"/>
    <w:basedOn w:val="1280"/>
    <w:link w:val="1857"/>
    <w:qFormat/>
    <w:pPr>
      <w:spacing w:before="120" w:after="120" w:line="360" w:lineRule="exact"/>
    </w:pPr>
    <w:rPr>
      <w:sz w:val="28"/>
    </w:rPr>
  </w:style>
  <w:style w:type="character" w:styleId="1857" w:customStyle="1">
    <w:name w:val="Текст документа Знак"/>
    <w:link w:val="1856"/>
    <w:rPr>
      <w:sz w:val="28"/>
    </w:rPr>
  </w:style>
  <w:style w:type="paragraph" w:styleId="1858" w:customStyle="1">
    <w:name w:val="Обычный_марк2"/>
    <w:basedOn w:val="1280"/>
    <w:next w:val="1421"/>
    <w:link w:val="1859"/>
    <w:pPr>
      <w:numPr>
        <w:ilvl w:val="0"/>
        <w:numId w:val="59"/>
      </w:numPr>
      <w:ind w:left="0" w:right="57" w:firstLine="1134"/>
      <w:jc w:val="left"/>
      <w:tabs>
        <w:tab w:val="left" w:pos="1560" w:leader="none"/>
      </w:tabs>
    </w:pPr>
    <w:rPr>
      <w:rFonts w:eastAsia="Calibri"/>
      <w:sz w:val="28"/>
      <w:szCs w:val="28"/>
      <w:lang w:eastAsia="ko-KR"/>
    </w:rPr>
  </w:style>
  <w:style w:type="character" w:styleId="1859" w:customStyle="1">
    <w:name w:val="Обычный_марк2 Знак"/>
    <w:link w:val="1858"/>
    <w:rPr>
      <w:rFonts w:eastAsia="Calibri"/>
      <w:sz w:val="28"/>
      <w:szCs w:val="28"/>
      <w:lang w:eastAsia="ko-KR"/>
    </w:rPr>
  </w:style>
  <w:style w:type="paragraph" w:styleId="1860" w:customStyle="1">
    <w:name w:val="Табл-текст"/>
    <w:basedOn w:val="1280"/>
    <w:link w:val="1861"/>
    <w:qFormat/>
    <w:pPr>
      <w:ind w:left="28" w:right="28" w:firstLine="0"/>
      <w:jc w:val="left"/>
      <w:spacing w:before="40" w:after="40"/>
    </w:pPr>
    <w:rPr>
      <w:sz w:val="28"/>
    </w:rPr>
  </w:style>
  <w:style w:type="character" w:styleId="1861" w:customStyle="1">
    <w:name w:val="Табл-текст Знак"/>
    <w:link w:val="1860"/>
    <w:rPr>
      <w:sz w:val="28"/>
    </w:rPr>
  </w:style>
  <w:style w:type="paragraph" w:styleId="1862" w:customStyle="1">
    <w:name w:val="Нумер. список"/>
    <w:basedOn w:val="1280"/>
    <w:link w:val="1863"/>
    <w:qFormat/>
    <w:pPr>
      <w:numPr>
        <w:ilvl w:val="0"/>
        <w:numId w:val="60"/>
      </w:numPr>
      <w:spacing w:before="120" w:after="120" w:line="360" w:lineRule="exact"/>
    </w:pPr>
    <w:rPr>
      <w:sz w:val="28"/>
    </w:rPr>
  </w:style>
  <w:style w:type="character" w:styleId="1863" w:customStyle="1">
    <w:name w:val="Нумер. список Знак"/>
    <w:basedOn w:val="1290"/>
    <w:link w:val="1862"/>
    <w:rPr>
      <w:sz w:val="28"/>
    </w:rPr>
  </w:style>
  <w:style w:type="numbering" w:styleId="1864" w:customStyle="1">
    <w:name w:val="Article / Section4"/>
    <w:pPr>
      <w:numPr>
        <w:ilvl w:val="0"/>
        <w:numId w:val="60"/>
      </w:numPr>
    </w:pPr>
  </w:style>
  <w:style w:type="paragraph" w:styleId="1865" w:customStyle="1">
    <w:name w:val="Маркир. 2"/>
    <w:basedOn w:val="1280"/>
    <w:link w:val="1866"/>
    <w:qFormat/>
    <w:pPr>
      <w:numPr>
        <w:ilvl w:val="0"/>
        <w:numId w:val="61"/>
      </w:numPr>
      <w:contextualSpacing/>
      <w:spacing w:before="120" w:after="120" w:line="360" w:lineRule="exact"/>
    </w:pPr>
    <w:rPr>
      <w:sz w:val="28"/>
      <w:lang w:eastAsia="ko-KR"/>
    </w:rPr>
  </w:style>
  <w:style w:type="character" w:styleId="1866" w:customStyle="1">
    <w:name w:val="Маркир. 2 Знак"/>
    <w:link w:val="1865"/>
    <w:rPr>
      <w:sz w:val="28"/>
      <w:lang w:eastAsia="ko-KR"/>
    </w:rPr>
  </w:style>
  <w:style w:type="numbering" w:styleId="1867" w:customStyle="1">
    <w:name w:val="Стиль4"/>
    <w:uiPriority w:val="99"/>
    <w:pPr>
      <w:numPr>
        <w:ilvl w:val="0"/>
        <w:numId w:val="62"/>
      </w:numPr>
    </w:pPr>
  </w:style>
  <w:style w:type="numbering" w:styleId="1868" w:customStyle="1">
    <w:name w:val="Стиль5"/>
    <w:uiPriority w:val="99"/>
    <w:pPr>
      <w:numPr>
        <w:ilvl w:val="0"/>
        <w:numId w:val="63"/>
      </w:numPr>
    </w:pPr>
  </w:style>
  <w:style w:type="paragraph" w:styleId="1869" w:customStyle="1">
    <w:name w:val="Пункт 3 уровня"/>
    <w:basedOn w:val="1283"/>
    <w:link w:val="1870"/>
    <w:pPr>
      <w:numPr>
        <w:ilvl w:val="0"/>
      </w:numPr>
      <w:contextualSpacing w:val="0"/>
      <w:ind w:left="720" w:hanging="360"/>
      <w:jc w:val="both"/>
      <w:keepLines w:val="0"/>
      <w:keepNext w:val="0"/>
      <w:spacing w:before="120" w:after="120"/>
      <w:tabs>
        <w:tab w:val="left" w:pos="284" w:leader="none"/>
        <w:tab w:val="left" w:pos="851" w:leader="none"/>
        <w:tab w:val="left" w:pos="1418" w:leader="none"/>
        <w:tab w:val="left" w:pos="1701" w:leader="none"/>
        <w:tab w:val="left" w:pos="1985" w:leader="none"/>
      </w:tabs>
    </w:pPr>
    <w:rPr>
      <w:rFonts w:cs="Times New Roman"/>
      <w:b w:val="0"/>
      <w:bCs/>
      <w:iCs w:val="0"/>
      <w:color w:val="000000"/>
      <w:sz w:val="28"/>
      <w:szCs w:val="20"/>
    </w:rPr>
  </w:style>
  <w:style w:type="character" w:styleId="1870" w:customStyle="1">
    <w:name w:val="Пункт 3 уровня Знак"/>
    <w:link w:val="1869"/>
    <w:rPr>
      <w:bCs/>
      <w:color w:val="000000"/>
      <w:sz w:val="28"/>
    </w:rPr>
  </w:style>
  <w:style w:type="paragraph" w:styleId="1871" w:customStyle="1">
    <w:name w:val="Заг_5_приложение"/>
    <w:basedOn w:val="1472"/>
    <w:pPr>
      <w:numPr>
        <w:ilvl w:val="0"/>
        <w:numId w:val="64"/>
      </w:numPr>
      <w:ind w:right="57"/>
    </w:pPr>
    <w:rPr>
      <w:rFonts w:eastAsia="Calibri"/>
    </w:rPr>
  </w:style>
  <w:style w:type="character" w:styleId="1872" w:customStyle="1">
    <w:name w:val="Неразрешенное упоминание1"/>
    <w:basedOn w:val="1290"/>
    <w:uiPriority w:val="99"/>
    <w:semiHidden/>
    <w:unhideWhenUsed/>
    <w:rPr>
      <w:color w:val="808080"/>
      <w:shd w:val="clear" w:color="auto" w:fill="e6e6e6"/>
    </w:rPr>
  </w:style>
  <w:style w:type="paragraph" w:styleId="1873" w:customStyle="1">
    <w:name w:val="Обычный1"/>
    <w:basedOn w:val="1280"/>
    <w:pPr>
      <w:ind w:firstLine="0"/>
      <w:jc w:val="left"/>
    </w:pPr>
    <w:rPr>
      <w:rFonts w:eastAsia="Calibri"/>
      <w:sz w:val="28"/>
      <w:szCs w:val="28"/>
      <w:lang w:eastAsia="ko-KR"/>
    </w:rPr>
  </w:style>
  <w:style w:type="paragraph" w:styleId="1874" w:customStyle="1">
    <w:name w:val="mso-li"/>
    <w:basedOn w:val="1280"/>
    <w:uiPriority w:val="99"/>
    <w:semiHidden/>
    <w:pPr>
      <w:ind w:firstLine="0"/>
    </w:pPr>
    <w:rPr>
      <w:rFonts w:eastAsia="Calibri"/>
      <w:sz w:val="28"/>
      <w:szCs w:val="28"/>
      <w:lang w:eastAsia="ko-KR"/>
    </w:rPr>
  </w:style>
  <w:style w:type="paragraph" w:styleId="1875" w:customStyle="1">
    <w:name w:val="notoc"/>
    <w:basedOn w:val="1280"/>
    <w:uiPriority w:val="99"/>
    <w:semiHidden/>
    <w:pPr>
      <w:ind w:firstLine="0"/>
      <w:spacing w:after="120"/>
    </w:pPr>
    <w:rPr>
      <w:rFonts w:eastAsia="Calibri"/>
      <w:sz w:val="28"/>
      <w:szCs w:val="28"/>
      <w:lang w:eastAsia="ko-KR"/>
    </w:rPr>
  </w:style>
  <w:style w:type="paragraph" w:styleId="1876" w:customStyle="1">
    <w:name w:val="anytext"/>
    <w:basedOn w:val="1280"/>
    <w:uiPriority w:val="99"/>
    <w:semiHidden/>
    <w:pPr>
      <w:ind w:firstLine="0"/>
      <w:spacing w:after="120"/>
    </w:pPr>
    <w:rPr>
      <w:rFonts w:eastAsia="Calibri"/>
      <w:sz w:val="28"/>
      <w:szCs w:val="28"/>
      <w:lang w:eastAsia="ko-KR"/>
    </w:rPr>
  </w:style>
  <w:style w:type="paragraph" w:styleId="1877" w:customStyle="1">
    <w:name w:val="no-page-break"/>
    <w:basedOn w:val="1280"/>
    <w:uiPriority w:val="99"/>
    <w:semiHidden/>
    <w:pPr>
      <w:ind w:firstLine="0"/>
      <w:keepNext/>
      <w:spacing w:after="120"/>
    </w:pPr>
    <w:rPr>
      <w:rFonts w:eastAsia="Calibri"/>
      <w:sz w:val="28"/>
      <w:szCs w:val="28"/>
      <w:lang w:eastAsia="ko-KR"/>
    </w:rPr>
  </w:style>
  <w:style w:type="paragraph" w:styleId="1878" w:customStyle="1">
    <w:name w:val="mw-headline-number"/>
    <w:basedOn w:val="1280"/>
    <w:uiPriority w:val="99"/>
    <w:semiHidden/>
    <w:pPr>
      <w:ind w:firstLine="0"/>
      <w:spacing w:after="120"/>
    </w:pPr>
    <w:rPr>
      <w:rFonts w:eastAsia="Calibri"/>
      <w:vanish/>
      <w:sz w:val="28"/>
      <w:szCs w:val="28"/>
      <w:lang w:eastAsia="ko-KR"/>
    </w:rPr>
  </w:style>
  <w:style w:type="paragraph" w:styleId="1879" w:customStyle="1">
    <w:name w:val="center"/>
    <w:basedOn w:val="1280"/>
    <w:uiPriority w:val="99"/>
    <w:semiHidden/>
    <w:pPr>
      <w:ind w:firstLine="0"/>
      <w:jc w:val="center"/>
      <w:spacing w:after="240"/>
    </w:pPr>
    <w:rPr>
      <w:rFonts w:eastAsia="Calibri"/>
      <w:sz w:val="28"/>
      <w:szCs w:val="28"/>
      <w:lang w:eastAsia="ko-KR"/>
    </w:rPr>
  </w:style>
  <w:style w:type="paragraph" w:styleId="1880" w:customStyle="1">
    <w:name w:val="img"/>
    <w:basedOn w:val="1280"/>
    <w:uiPriority w:val="99"/>
    <w:semiHidden/>
    <w:pPr>
      <w:ind w:firstLine="0"/>
      <w:spacing w:before="240" w:after="120"/>
    </w:pPr>
    <w:rPr>
      <w:rFonts w:eastAsia="Calibri"/>
      <w:sz w:val="28"/>
      <w:szCs w:val="28"/>
      <w:lang w:eastAsia="ko-KR"/>
    </w:rPr>
  </w:style>
  <w:style w:type="paragraph" w:styleId="1881" w:customStyle="1">
    <w:name w:val="Название объекта1"/>
    <w:basedOn w:val="1280"/>
    <w:uiPriority w:val="99"/>
    <w:semiHidden/>
    <w:pPr>
      <w:ind w:firstLine="0"/>
      <w:jc w:val="center"/>
      <w:spacing w:after="120"/>
    </w:pPr>
    <w:rPr>
      <w:rFonts w:eastAsia="Calibri"/>
      <w:b/>
      <w:bCs/>
      <w:sz w:val="28"/>
      <w:szCs w:val="28"/>
      <w:lang w:eastAsia="ko-KR"/>
    </w:rPr>
  </w:style>
  <w:style w:type="paragraph" w:styleId="1882" w:customStyle="1">
    <w:name w:val="caption-table"/>
    <w:basedOn w:val="1280"/>
    <w:uiPriority w:val="99"/>
    <w:semiHidden/>
    <w:pPr>
      <w:ind w:firstLine="0"/>
      <w:jc w:val="left"/>
      <w:keepNext/>
      <w:spacing w:before="240"/>
    </w:pPr>
    <w:rPr>
      <w:rFonts w:eastAsia="Calibri"/>
      <w:b/>
      <w:bCs/>
      <w:sz w:val="28"/>
      <w:szCs w:val="28"/>
      <w:lang w:eastAsia="ko-KR"/>
    </w:rPr>
  </w:style>
  <w:style w:type="paragraph" w:styleId="1883" w:customStyle="1">
    <w:name w:val="rank"/>
    <w:basedOn w:val="1280"/>
    <w:uiPriority w:val="99"/>
    <w:semiHidden/>
    <w:pPr>
      <w:ind w:firstLine="0"/>
      <w:jc w:val="right"/>
      <w:spacing w:after="120"/>
    </w:pPr>
    <w:rPr>
      <w:rFonts w:eastAsia="Calibri"/>
      <w:sz w:val="28"/>
      <w:szCs w:val="28"/>
      <w:lang w:eastAsia="ko-KR"/>
    </w:rPr>
  </w:style>
  <w:style w:type="paragraph" w:styleId="1884" w:customStyle="1">
    <w:name w:val="tocnumber"/>
    <w:basedOn w:val="1280"/>
    <w:uiPriority w:val="99"/>
    <w:semiHidden/>
    <w:pPr>
      <w:ind w:firstLine="0"/>
      <w:spacing w:after="120"/>
    </w:pPr>
    <w:rPr>
      <w:rFonts w:eastAsia="Calibri"/>
      <w:sz w:val="28"/>
      <w:szCs w:val="28"/>
      <w:lang w:eastAsia="ko-KR"/>
    </w:rPr>
  </w:style>
  <w:style w:type="paragraph" w:styleId="1885" w:customStyle="1">
    <w:name w:val="template-mark-data"/>
    <w:basedOn w:val="1280"/>
    <w:uiPriority w:val="99"/>
    <w:semiHidden/>
    <w:pPr>
      <w:ind w:firstLine="0"/>
      <w:spacing w:after="120"/>
    </w:pPr>
    <w:rPr>
      <w:rFonts w:eastAsia="Calibri"/>
      <w:sz w:val="28"/>
      <w:szCs w:val="28"/>
      <w:lang w:eastAsia="ko-KR"/>
    </w:rPr>
  </w:style>
  <w:style w:type="paragraph" w:styleId="1886" w:customStyle="1">
    <w:name w:val="td"/>
    <w:basedOn w:val="1280"/>
    <w:uiPriority w:val="99"/>
    <w:semiHidden/>
    <w:pPr>
      <w:ind w:firstLine="0"/>
      <w:spacing w:after="120"/>
    </w:pPr>
    <w:rPr>
      <w:rFonts w:eastAsia="Calibri"/>
      <w:sz w:val="28"/>
      <w:szCs w:val="28"/>
      <w:lang w:eastAsia="ko-KR"/>
    </w:rPr>
  </w:style>
  <w:style w:type="paragraph" w:styleId="1887" w:customStyle="1">
    <w:name w:val="th"/>
    <w:basedOn w:val="1280"/>
    <w:uiPriority w:val="99"/>
    <w:semiHidden/>
    <w:pPr>
      <w:ind w:firstLine="0"/>
      <w:spacing w:after="120"/>
    </w:pPr>
    <w:rPr>
      <w:rFonts w:eastAsia="Calibri"/>
      <w:sz w:val="28"/>
      <w:szCs w:val="28"/>
      <w:lang w:eastAsia="ko-KR"/>
    </w:rPr>
  </w:style>
  <w:style w:type="paragraph" w:styleId="1888" w:customStyle="1">
    <w:name w:val="props"/>
    <w:basedOn w:val="1280"/>
    <w:uiPriority w:val="99"/>
    <w:semiHidden/>
    <w:pPr>
      <w:ind w:firstLine="0"/>
      <w:spacing w:after="120"/>
    </w:pPr>
    <w:rPr>
      <w:rFonts w:eastAsia="Calibri"/>
      <w:sz w:val="28"/>
      <w:szCs w:val="28"/>
      <w:lang w:eastAsia="ko-KR"/>
    </w:rPr>
  </w:style>
  <w:style w:type="paragraph" w:styleId="1889" w:customStyle="1">
    <w:name w:val="reg_part"/>
    <w:basedOn w:val="1280"/>
    <w:uiPriority w:val="99"/>
    <w:semiHidden/>
    <w:pPr>
      <w:ind w:firstLine="0"/>
      <w:spacing w:after="120"/>
    </w:pPr>
    <w:rPr>
      <w:rFonts w:eastAsia="Calibri"/>
      <w:sz w:val="28"/>
      <w:szCs w:val="28"/>
      <w:lang w:eastAsia="ko-KR"/>
    </w:rPr>
  </w:style>
  <w:style w:type="paragraph" w:styleId="1890" w:customStyle="1">
    <w:name w:val="anytext1"/>
    <w:basedOn w:val="1280"/>
    <w:uiPriority w:val="99"/>
    <w:semiHidden/>
    <w:pPr>
      <w:ind w:firstLine="709"/>
      <w:spacing w:after="120" w:line="360" w:lineRule="auto"/>
    </w:pPr>
    <w:rPr>
      <w:rFonts w:eastAsia="Calibri"/>
      <w:sz w:val="28"/>
      <w:szCs w:val="28"/>
      <w:lang w:eastAsia="ko-KR"/>
    </w:rPr>
  </w:style>
  <w:style w:type="paragraph" w:styleId="1891" w:customStyle="1">
    <w:name w:val="mso-li1"/>
    <w:basedOn w:val="1280"/>
    <w:uiPriority w:val="99"/>
    <w:semiHidden/>
    <w:pPr>
      <w:ind w:firstLine="709"/>
      <w:spacing w:line="360" w:lineRule="auto"/>
    </w:pPr>
    <w:rPr>
      <w:rFonts w:eastAsia="Calibri"/>
      <w:sz w:val="28"/>
      <w:szCs w:val="28"/>
      <w:lang w:eastAsia="ko-KR"/>
    </w:rPr>
  </w:style>
  <w:style w:type="paragraph" w:styleId="1892" w:customStyle="1">
    <w:name w:val="mw-headline-number1"/>
    <w:basedOn w:val="1280"/>
    <w:uiPriority w:val="99"/>
    <w:semiHidden/>
    <w:pPr>
      <w:ind w:firstLine="0"/>
      <w:spacing w:after="120"/>
    </w:pPr>
    <w:rPr>
      <w:rFonts w:eastAsia="Calibri"/>
      <w:vanish/>
      <w:sz w:val="28"/>
      <w:szCs w:val="28"/>
      <w:lang w:eastAsia="ko-KR"/>
    </w:rPr>
  </w:style>
  <w:style w:type="paragraph" w:styleId="1893" w:customStyle="1">
    <w:name w:val="tocnumber1"/>
    <w:basedOn w:val="1280"/>
    <w:uiPriority w:val="99"/>
    <w:semiHidden/>
    <w:pPr>
      <w:ind w:firstLine="0"/>
      <w:spacing w:after="120"/>
    </w:pPr>
    <w:rPr>
      <w:rFonts w:eastAsia="Calibri"/>
      <w:vanish/>
      <w:sz w:val="28"/>
      <w:szCs w:val="28"/>
      <w:lang w:eastAsia="ko-KR"/>
    </w:rPr>
  </w:style>
  <w:style w:type="paragraph" w:styleId="1894" w:customStyle="1">
    <w:name w:val="notoc1"/>
    <w:basedOn w:val="1280"/>
    <w:uiPriority w:val="99"/>
    <w:semiHidden/>
    <w:pPr>
      <w:ind w:firstLine="0"/>
      <w:jc w:val="center"/>
      <w:keepNext/>
      <w:spacing w:before="100" w:beforeAutospacing="1" w:after="100" w:afterAutospacing="1" w:line="360" w:lineRule="auto"/>
    </w:pPr>
    <w:rPr>
      <w:rFonts w:eastAsia="Calibri"/>
      <w:b/>
      <w:bCs/>
      <w:caps/>
      <w:sz w:val="28"/>
      <w:szCs w:val="28"/>
      <w:lang w:eastAsia="ko-KR"/>
    </w:rPr>
  </w:style>
  <w:style w:type="paragraph" w:styleId="1895" w:customStyle="1">
    <w:name w:val="template-mark-data1"/>
    <w:basedOn w:val="1280"/>
    <w:uiPriority w:val="99"/>
    <w:semiHidden/>
    <w:pPr>
      <w:ind w:firstLine="0"/>
      <w:jc w:val="left"/>
      <w:spacing w:after="120"/>
    </w:pPr>
    <w:rPr>
      <w:rFonts w:eastAsia="Calibri"/>
      <w:sz w:val="28"/>
      <w:szCs w:val="28"/>
      <w:lang w:eastAsia="ko-KR"/>
    </w:rPr>
  </w:style>
  <w:style w:type="paragraph" w:styleId="1896" w:customStyle="1">
    <w:name w:val="td1"/>
    <w:basedOn w:val="1280"/>
    <w:uiPriority w:val="99"/>
    <w:semiHidden/>
    <w:pPr>
      <w:ind w:firstLine="0"/>
      <w:spacing w:after="120"/>
    </w:pPr>
    <w:rPr>
      <w:rFonts w:eastAsia="Calibri"/>
      <w:sz w:val="28"/>
      <w:szCs w:val="28"/>
      <w:lang w:eastAsia="ko-KR"/>
    </w:rPr>
  </w:style>
  <w:style w:type="paragraph" w:styleId="1897" w:customStyle="1">
    <w:name w:val="th1"/>
    <w:basedOn w:val="1280"/>
    <w:uiPriority w:val="99"/>
    <w:semiHidden/>
    <w:pPr>
      <w:ind w:firstLine="0"/>
      <w:spacing w:after="120"/>
    </w:pPr>
    <w:rPr>
      <w:rFonts w:eastAsia="Calibri"/>
      <w:sz w:val="28"/>
      <w:szCs w:val="28"/>
      <w:lang w:eastAsia="ko-KR"/>
    </w:rPr>
  </w:style>
  <w:style w:type="paragraph" w:styleId="1898" w:customStyle="1">
    <w:name w:val="props1"/>
    <w:basedOn w:val="1280"/>
    <w:uiPriority w:val="99"/>
    <w:semiHidden/>
    <w:pPr>
      <w:ind w:firstLine="0"/>
      <w:spacing w:after="120"/>
    </w:pPr>
    <w:rPr>
      <w:rFonts w:eastAsia="Calibri"/>
      <w:sz w:val="28"/>
      <w:szCs w:val="28"/>
      <w:lang w:eastAsia="ko-KR"/>
    </w:rPr>
  </w:style>
  <w:style w:type="paragraph" w:styleId="1899" w:customStyle="1">
    <w:name w:val="reg_part1"/>
    <w:basedOn w:val="1280"/>
    <w:uiPriority w:val="99"/>
    <w:semiHidden/>
    <w:pPr>
      <w:ind w:firstLine="0"/>
      <w:spacing w:after="120"/>
    </w:pPr>
    <w:rPr>
      <w:rFonts w:eastAsia="Calibri"/>
      <w:vanish/>
      <w:sz w:val="28"/>
      <w:szCs w:val="28"/>
      <w:lang w:eastAsia="ko-KR"/>
    </w:rPr>
  </w:style>
  <w:style w:type="paragraph" w:styleId="1900" w:customStyle="1">
    <w:name w:val="Текст пункта"/>
    <w:link w:val="1901"/>
    <w:qFormat/>
    <w:pPr>
      <w:ind w:firstLine="709"/>
      <w:jc w:val="both"/>
      <w:spacing w:line="360" w:lineRule="auto"/>
    </w:pPr>
    <w:rPr>
      <w:spacing w:val="2"/>
      <w:sz w:val="28"/>
      <w:szCs w:val="28"/>
      <w:lang w:eastAsia="en-US"/>
    </w:rPr>
  </w:style>
  <w:style w:type="character" w:styleId="1901" w:customStyle="1">
    <w:name w:val="Текст пункта Знак3"/>
    <w:link w:val="1900"/>
    <w:rPr>
      <w:spacing w:val="2"/>
      <w:sz w:val="28"/>
      <w:szCs w:val="28"/>
      <w:lang w:eastAsia="en-US"/>
    </w:rPr>
  </w:style>
  <w:style w:type="paragraph" w:styleId="1902" w:customStyle="1">
    <w:name w:val="Перечисление"/>
    <w:basedOn w:val="1280"/>
    <w:pPr>
      <w:numPr>
        <w:ilvl w:val="0"/>
        <w:numId w:val="65"/>
      </w:numPr>
      <w:jc w:val="left"/>
      <w:spacing w:line="360" w:lineRule="auto"/>
    </w:pPr>
    <w:rPr>
      <w:rFonts w:eastAsia="Calibri"/>
      <w:sz w:val="28"/>
      <w:szCs w:val="28"/>
      <w:lang w:eastAsia="en-US"/>
    </w:rPr>
  </w:style>
  <w:style w:type="character" w:styleId="1903" w:customStyle="1">
    <w:name w:val="Основной текст с отступом Знак"/>
    <w:link w:val="1335"/>
  </w:style>
  <w:style w:type="paragraph" w:styleId="1904" w:customStyle="1">
    <w:name w:val="Маркированное перечисление"/>
    <w:basedOn w:val="1446"/>
    <w:pPr>
      <w:numPr>
        <w:ilvl w:val="0"/>
        <w:numId w:val="0"/>
      </w:numPr>
      <w:ind w:left="1209" w:hanging="360"/>
      <w:jc w:val="left"/>
      <w:spacing w:line="360" w:lineRule="auto"/>
      <w:tabs>
        <w:tab w:val="num" w:pos="1209" w:leader="none"/>
      </w:tabs>
    </w:pPr>
    <w:rPr>
      <w:rFonts w:eastAsia="Calibri"/>
      <w:sz w:val="28"/>
      <w:szCs w:val="24"/>
      <w:lang w:eastAsia="en-US"/>
    </w:rPr>
  </w:style>
  <w:style w:type="paragraph" w:styleId="1905" w:customStyle="1">
    <w:name w:val="Стандартный текст"/>
    <w:basedOn w:val="1280"/>
    <w:link w:val="1915"/>
    <w:qFormat/>
    <w:pPr>
      <w:ind w:firstLine="709"/>
      <w:spacing w:line="360" w:lineRule="auto"/>
    </w:pPr>
    <w:rPr>
      <w:rFonts w:eastAsia="Calibri"/>
      <w:sz w:val="28"/>
      <w:lang w:eastAsia="ko-KR"/>
    </w:rPr>
  </w:style>
  <w:style w:type="paragraph" w:styleId="1906" w:customStyle="1">
    <w:name w:val="Приложение"/>
    <w:basedOn w:val="1280"/>
    <w:next w:val="1280"/>
    <w:pPr>
      <w:numPr>
        <w:ilvl w:val="0"/>
        <w:numId w:val="83"/>
      </w:numPr>
      <w:jc w:val="center"/>
      <w:pageBreakBefore/>
      <w:spacing w:line="360" w:lineRule="auto"/>
      <w:widowControl w:val="off"/>
      <w:outlineLvl w:val="0"/>
    </w:pPr>
    <w:rPr>
      <w:rFonts w:eastAsia="Calibri"/>
      <w:b/>
      <w:caps/>
      <w:sz w:val="28"/>
      <w:lang w:eastAsia="ko-KR"/>
    </w:rPr>
  </w:style>
  <w:style w:type="paragraph" w:styleId="1907" w:customStyle="1">
    <w:name w:val="Заглавие"/>
    <w:basedOn w:val="1280"/>
    <w:next w:val="1905"/>
    <w:pPr>
      <w:ind w:firstLine="0"/>
      <w:jc w:val="center"/>
      <w:keepNext/>
      <w:pageBreakBefore/>
      <w:spacing w:after="240"/>
    </w:pPr>
    <w:rPr>
      <w:rFonts w:ascii="Times New Roman Полужирный" w:hAnsi="Times New Roman Полужирный" w:eastAsia="Calibri"/>
      <w:b/>
      <w:caps/>
      <w:sz w:val="28"/>
      <w:szCs w:val="26"/>
      <w:lang w:eastAsia="ko-KR"/>
    </w:rPr>
  </w:style>
  <w:style w:type="paragraph" w:styleId="1908" w:customStyle="1">
    <w:name w:val="Заголовок рисунка"/>
    <w:basedOn w:val="1280"/>
    <w:qFormat/>
    <w:pPr>
      <w:ind w:firstLine="0"/>
      <w:jc w:val="center"/>
      <w:keepNext/>
      <w:spacing w:before="120" w:after="120" w:line="276" w:lineRule="auto"/>
    </w:pPr>
    <w:rPr>
      <w:rFonts w:eastAsia="Calibri"/>
      <w:bCs/>
      <w:i/>
      <w:sz w:val="28"/>
      <w:szCs w:val="28"/>
      <w:lang w:eastAsia="en-US"/>
    </w:rPr>
  </w:style>
  <w:style w:type="paragraph" w:styleId="1909" w:customStyle="1">
    <w:name w:val="рисунок"/>
    <w:basedOn w:val="1280"/>
    <w:qFormat/>
    <w:pPr>
      <w:ind w:firstLine="0"/>
      <w:jc w:val="center"/>
      <w:keepNext/>
    </w:pPr>
    <w:rPr>
      <w:rFonts w:eastAsia="Calibri"/>
      <w:sz w:val="28"/>
      <w:lang w:eastAsia="ko-KR"/>
    </w:rPr>
  </w:style>
  <w:style w:type="paragraph" w:styleId="1910" w:customStyle="1">
    <w:name w:val="Название рисунка"/>
    <w:basedOn w:val="1330"/>
    <w:link w:val="1920"/>
    <w:qFormat/>
    <w:pPr>
      <w:ind w:firstLine="709"/>
      <w:jc w:val="center"/>
      <w:spacing w:after="240" w:line="360" w:lineRule="atLeast"/>
    </w:pPr>
    <w:rPr>
      <w:rFonts w:eastAsia="Calibri"/>
      <w:bCs w:val="0"/>
      <w:sz w:val="28"/>
      <w:szCs w:val="24"/>
      <w:lang w:eastAsia="en-US"/>
    </w:rPr>
  </w:style>
  <w:style w:type="paragraph" w:styleId="1911" w:customStyle="1">
    <w:name w:val="Приложение 2"/>
    <w:basedOn w:val="1282"/>
    <w:qFormat/>
    <w:pPr>
      <w:contextualSpacing w:val="0"/>
      <w:ind w:left="709" w:hanging="709"/>
      <w:spacing w:before="480" w:after="120" w:line="276" w:lineRule="auto"/>
    </w:pPr>
    <w:rPr>
      <w:rFonts w:ascii="Times New Roman Полужирный" w:hAnsi="Times New Roman Полужирный" w:cs="Times New Roman" w:eastAsiaTheme="minorEastAsia"/>
      <w:bCs w:val="0"/>
      <w:iCs w:val="0"/>
      <w:sz w:val="28"/>
      <w:szCs w:val="20"/>
      <w:lang w:eastAsia="en-US"/>
    </w:rPr>
  </w:style>
  <w:style w:type="paragraph" w:styleId="1912" w:customStyle="1">
    <w:name w:val="Приложение 3"/>
    <w:basedOn w:val="1283"/>
    <w:qFormat/>
    <w:pPr>
      <w:numPr>
        <w:ilvl w:val="0"/>
      </w:numPr>
      <w:contextualSpacing w:val="0"/>
      <w:ind w:hanging="360"/>
      <w:jc w:val="both"/>
      <w:spacing w:before="200" w:after="120" w:line="276" w:lineRule="auto"/>
      <w:tabs>
        <w:tab w:val="num" w:pos="1" w:leader="none"/>
        <w:tab w:val="left" w:pos="284" w:leader="none"/>
        <w:tab w:val="left" w:pos="851" w:leader="none"/>
        <w:tab w:val="left" w:pos="1418" w:leader="none"/>
        <w:tab w:val="left" w:pos="1701" w:leader="none"/>
        <w:tab w:val="left" w:pos="1985" w:leader="none"/>
      </w:tabs>
    </w:pPr>
    <w:rPr>
      <w:rFonts w:ascii="Times New Roman Полужирный" w:hAnsi="Times New Roman Полужирный" w:cs="Times New Roman" w:eastAsiaTheme="minorEastAsia"/>
      <w:bCs/>
      <w:iCs w:val="0"/>
      <w:sz w:val="28"/>
      <w:szCs w:val="36"/>
      <w:lang w:eastAsia="en-US"/>
    </w:rPr>
  </w:style>
  <w:style w:type="paragraph" w:styleId="1913" w:customStyle="1">
    <w:name w:val="Заголовок без номера"/>
    <w:basedOn w:val="1281"/>
    <w:qFormat/>
    <w:pPr>
      <w:numPr>
        <w:ilvl w:val="0"/>
        <w:numId w:val="0"/>
      </w:numPr>
      <w:contextualSpacing w:val="0"/>
      <w:keepLines/>
      <w:spacing w:before="0" w:after="120" w:line="360" w:lineRule="atLeast"/>
    </w:pPr>
    <w:rPr>
      <w:rFonts w:eastAsiaTheme="minorEastAsia"/>
      <w:sz w:val="28"/>
      <w:lang w:eastAsia="ko-KR"/>
    </w:rPr>
  </w:style>
  <w:style w:type="paragraph" w:styleId="1914" w:customStyle="1">
    <w:name w:val="Методика 2"/>
    <w:basedOn w:val="1280"/>
    <w:next w:val="1692"/>
    <w:link w:val="1916"/>
    <w:qFormat/>
    <w:pPr>
      <w:ind w:firstLine="0"/>
      <w:jc w:val="left"/>
      <w:keepNext/>
      <w:spacing w:before="120" w:after="120"/>
      <w:outlineLvl w:val="1"/>
    </w:pPr>
    <w:rPr>
      <w:rFonts w:eastAsia="Calibri"/>
      <w:b/>
      <w:sz w:val="28"/>
      <w:lang w:eastAsia="ko-KR"/>
    </w:rPr>
  </w:style>
  <w:style w:type="character" w:styleId="1915" w:customStyle="1">
    <w:name w:val="Стандартный текст Знак"/>
    <w:link w:val="1905"/>
    <w:rPr>
      <w:rFonts w:eastAsia="Calibri"/>
      <w:sz w:val="28"/>
      <w:lang w:eastAsia="ko-KR"/>
    </w:rPr>
  </w:style>
  <w:style w:type="character" w:styleId="1916" w:customStyle="1">
    <w:name w:val="Методика 2 Знак"/>
    <w:link w:val="1914"/>
    <w:rPr>
      <w:rFonts w:eastAsia="Calibri"/>
      <w:b/>
      <w:sz w:val="28"/>
      <w:lang w:eastAsia="ko-KR"/>
    </w:rPr>
  </w:style>
  <w:style w:type="paragraph" w:styleId="1917" w:customStyle="1">
    <w:name w:val="После таблицы"/>
    <w:basedOn w:val="1905"/>
    <w:link w:val="1918"/>
    <w:qFormat/>
    <w:pPr>
      <w:spacing w:before="240"/>
    </w:pPr>
  </w:style>
  <w:style w:type="character" w:styleId="1918" w:customStyle="1">
    <w:name w:val="После таблицы Знак"/>
    <w:link w:val="1917"/>
    <w:rPr>
      <w:rFonts w:eastAsia="Calibri"/>
      <w:sz w:val="28"/>
      <w:lang w:eastAsia="ko-KR"/>
    </w:rPr>
  </w:style>
  <w:style w:type="paragraph" w:styleId="1919" w:customStyle="1">
    <w:name w:val="Методика 1"/>
    <w:basedOn w:val="1280"/>
    <w:qFormat/>
    <w:pPr>
      <w:ind w:firstLine="0"/>
      <w:jc w:val="left"/>
      <w:keepNext/>
      <w:spacing w:after="120"/>
      <w:outlineLvl w:val="0"/>
    </w:pPr>
    <w:rPr>
      <w:rFonts w:eastAsia="Calibri"/>
      <w:b/>
      <w:sz w:val="28"/>
      <w:lang w:eastAsia="ko-KR"/>
    </w:rPr>
  </w:style>
  <w:style w:type="character" w:styleId="1920" w:customStyle="1">
    <w:name w:val="Название рисунка Знак"/>
    <w:link w:val="1910"/>
    <w:rPr>
      <w:rFonts w:eastAsia="Calibri"/>
      <w:b/>
      <w:sz w:val="28"/>
      <w:szCs w:val="24"/>
      <w:lang w:eastAsia="en-US"/>
    </w:rPr>
  </w:style>
  <w:style w:type="paragraph" w:styleId="1921" w:customStyle="1">
    <w:name w:val="Нумерованный сп."/>
    <w:basedOn w:val="1280"/>
    <w:link w:val="1922"/>
    <w:qFormat/>
    <w:pPr>
      <w:numPr>
        <w:ilvl w:val="0"/>
        <w:numId w:val="66"/>
      </w:numPr>
      <w:contextualSpacing/>
      <w:spacing w:after="120" w:line="360" w:lineRule="atLeast"/>
    </w:pPr>
    <w:rPr>
      <w:rFonts w:eastAsia="Calibri"/>
      <w:sz w:val="28"/>
      <w:lang w:eastAsia="ko-KR"/>
    </w:rPr>
  </w:style>
  <w:style w:type="character" w:styleId="1922" w:customStyle="1">
    <w:name w:val="Нумерованный сп. Знак"/>
    <w:link w:val="1921"/>
    <w:rPr>
      <w:rFonts w:eastAsia="Calibri"/>
      <w:sz w:val="28"/>
      <w:lang w:eastAsia="ko-KR"/>
    </w:rPr>
  </w:style>
  <w:style w:type="paragraph" w:styleId="1923" w:customStyle="1">
    <w:name w:val="Заголовок1"/>
    <w:basedOn w:val="1280"/>
    <w:next w:val="1280"/>
    <w:link w:val="1924"/>
    <w:uiPriority w:val="10"/>
    <w:qFormat/>
    <w:pPr>
      <w:contextualSpacing/>
      <w:ind w:firstLine="0"/>
      <w:jc w:val="center"/>
      <w:keepLines/>
      <w:keepNext/>
      <w:spacing w:after="240" w:line="360" w:lineRule="atLeast"/>
    </w:pPr>
    <w:rPr>
      <w:rFonts w:ascii="Times New Roman Полужирный" w:hAnsi="Times New Roman Полужирный" w:eastAsia="Calibri"/>
      <w:b/>
      <w:caps/>
      <w:spacing w:val="5"/>
      <w:sz w:val="28"/>
      <w:szCs w:val="28"/>
      <w:lang w:eastAsia="ko-KR"/>
    </w:rPr>
  </w:style>
  <w:style w:type="character" w:styleId="1924" w:customStyle="1">
    <w:name w:val="Заголовок Знак"/>
    <w:link w:val="1923"/>
    <w:uiPriority w:val="10"/>
    <w:rPr>
      <w:rFonts w:ascii="Times New Roman Полужирный" w:hAnsi="Times New Roman Полужирный" w:eastAsia="Calibri"/>
      <w:b/>
      <w:caps/>
      <w:spacing w:val="5"/>
      <w:sz w:val="28"/>
      <w:szCs w:val="28"/>
      <w:lang w:eastAsia="ko-KR"/>
    </w:rPr>
  </w:style>
  <w:style w:type="character" w:styleId="1925" w:customStyle="1">
    <w:name w:val="Номер в таблице Знак"/>
    <w:link w:val="1689"/>
    <w:rPr>
      <w:sz w:val="24"/>
    </w:rPr>
  </w:style>
  <w:style w:type="paragraph" w:styleId="1926" w:customStyle="1">
    <w:name w:val="Методика 3"/>
    <w:basedOn w:val="1283"/>
    <w:qFormat/>
    <w:pPr>
      <w:numPr>
        <w:ilvl w:val="0"/>
      </w:numPr>
      <w:contextualSpacing w:val="0"/>
      <w:ind w:left="720" w:hanging="360"/>
      <w:spacing w:after="120" w:line="360" w:lineRule="atLeast"/>
      <w:tabs>
        <w:tab w:val="num" w:pos="1" w:leader="none"/>
        <w:tab w:val="left" w:pos="284" w:leader="none"/>
        <w:tab w:val="left" w:pos="851" w:leader="none"/>
        <w:tab w:val="left" w:pos="1418" w:leader="none"/>
        <w:tab w:val="left" w:pos="1701" w:leader="none"/>
        <w:tab w:val="left" w:pos="1985" w:leader="none"/>
      </w:tabs>
    </w:pPr>
    <w:rPr>
      <w:rFonts w:ascii="Times New Roman Полужирный" w:hAnsi="Times New Roman Полужирный" w:cs="Times New Roman" w:eastAsiaTheme="minorEastAsia"/>
      <w:iCs w:val="0"/>
      <w:sz w:val="28"/>
      <w:szCs w:val="36"/>
      <w:lang w:eastAsia="ko-KR"/>
    </w:rPr>
  </w:style>
  <w:style w:type="paragraph" w:styleId="1927">
    <w:name w:val="No Spacing"/>
    <w:uiPriority w:val="1"/>
    <w:qFormat/>
    <w:rPr>
      <w:sz w:val="28"/>
    </w:rPr>
  </w:style>
  <w:style w:type="paragraph" w:styleId="1928" w:customStyle="1">
    <w:name w:val="Обычный 1"/>
    <w:basedOn w:val="1280"/>
    <w:link w:val="1933"/>
    <w:qFormat/>
    <w:pPr>
      <w:ind w:firstLine="709"/>
      <w:spacing w:before="60" w:after="60" w:line="360" w:lineRule="auto"/>
    </w:pPr>
    <w:rPr>
      <w:rFonts w:eastAsia="Calibri"/>
      <w:sz w:val="28"/>
      <w:szCs w:val="28"/>
      <w:lang w:eastAsia="ko-KR"/>
    </w:rPr>
  </w:style>
  <w:style w:type="paragraph" w:styleId="1929" w:customStyle="1">
    <w:name w:val="_Заголовок 2 уровня нум"/>
    <w:basedOn w:val="1280"/>
    <w:link w:val="1934"/>
    <w:qFormat/>
    <w:pPr>
      <w:numPr>
        <w:ilvl w:val="1"/>
        <w:numId w:val="67"/>
      </w:numPr>
      <w:keepNext/>
      <w:spacing w:before="240" w:after="240"/>
      <w:outlineLvl w:val="1"/>
    </w:pPr>
    <w:rPr>
      <w:rFonts w:eastAsia="Calibri"/>
      <w:b/>
      <w:sz w:val="28"/>
      <w:szCs w:val="28"/>
      <w:lang w:eastAsia="ko-KR"/>
    </w:rPr>
  </w:style>
  <w:style w:type="paragraph" w:styleId="1930" w:customStyle="1">
    <w:name w:val="_Заголовок 3 уровня нум"/>
    <w:basedOn w:val="1282"/>
    <w:qFormat/>
    <w:pPr>
      <w:numPr>
        <w:ilvl w:val="2"/>
        <w:numId w:val="67"/>
      </w:numPr>
      <w:contextualSpacing w:val="0"/>
      <w:jc w:val="both"/>
    </w:pPr>
    <w:rPr>
      <w:rFonts w:cs="Times New Roman" w:eastAsiaTheme="minorEastAsia"/>
      <w:bCs w:val="0"/>
      <w:iCs w:val="0"/>
      <w:sz w:val="24"/>
      <w:szCs w:val="24"/>
      <w:lang w:eastAsia="ko-KR"/>
    </w:rPr>
  </w:style>
  <w:style w:type="paragraph" w:styleId="1931" w:customStyle="1">
    <w:name w:val="_Заголовок 4 уровня нум"/>
    <w:basedOn w:val="1930"/>
    <w:qFormat/>
    <w:pPr>
      <w:numPr>
        <w:ilvl w:val="3"/>
      </w:numPr>
    </w:pPr>
  </w:style>
  <w:style w:type="paragraph" w:styleId="1932" w:customStyle="1">
    <w:name w:val="_Заголовок 5 уровня нум"/>
    <w:basedOn w:val="1931"/>
    <w:qFormat/>
    <w:pPr>
      <w:numPr>
        <w:ilvl w:val="4"/>
      </w:numPr>
    </w:pPr>
  </w:style>
  <w:style w:type="character" w:styleId="1933" w:customStyle="1">
    <w:name w:val="Обычный 1 Знак"/>
    <w:link w:val="1928"/>
    <w:rPr>
      <w:rFonts w:eastAsia="Calibri"/>
      <w:sz w:val="28"/>
      <w:szCs w:val="28"/>
      <w:lang w:eastAsia="ko-KR"/>
    </w:rPr>
  </w:style>
  <w:style w:type="character" w:styleId="1934" w:customStyle="1">
    <w:name w:val="_Заголовок 2 уровня нум Знак"/>
    <w:link w:val="1929"/>
    <w:rPr>
      <w:rFonts w:eastAsia="Calibri"/>
      <w:b/>
      <w:sz w:val="28"/>
      <w:szCs w:val="28"/>
      <w:lang w:eastAsia="ko-KR"/>
    </w:rPr>
  </w:style>
  <w:style w:type="paragraph" w:styleId="1935" w:customStyle="1">
    <w:name w:val="осн. текст"/>
    <w:basedOn w:val="1280"/>
    <w:link w:val="1937"/>
    <w:qFormat/>
    <w:pPr>
      <w:ind w:firstLine="709"/>
      <w:spacing w:after="120" w:line="360" w:lineRule="exact"/>
    </w:pPr>
    <w:rPr>
      <w:rFonts w:eastAsia="Calibri"/>
      <w:sz w:val="28"/>
      <w:szCs w:val="28"/>
      <w:lang w:eastAsia="ko-KR"/>
    </w:rPr>
  </w:style>
  <w:style w:type="character" w:styleId="1936" w:customStyle="1">
    <w:name w:val="Комментарий Знак"/>
    <w:link w:val="1688"/>
    <w:rPr>
      <w:color w:val="0000ff"/>
      <w:sz w:val="24"/>
      <w:szCs w:val="24"/>
    </w:rPr>
  </w:style>
  <w:style w:type="character" w:styleId="1937" w:customStyle="1">
    <w:name w:val="осн. текст Знак"/>
    <w:link w:val="1935"/>
    <w:rPr>
      <w:rFonts w:eastAsia="Calibri"/>
      <w:sz w:val="28"/>
      <w:szCs w:val="28"/>
      <w:lang w:eastAsia="ko-KR"/>
    </w:rPr>
  </w:style>
  <w:style w:type="paragraph" w:styleId="1938" w:customStyle="1">
    <w:name w:val="Табл_спис"/>
    <w:basedOn w:val="1280"/>
    <w:qFormat/>
    <w:pPr>
      <w:numPr>
        <w:ilvl w:val="0"/>
        <w:numId w:val="68"/>
      </w:numPr>
      <w:ind w:left="284" w:hanging="284"/>
      <w:jc w:val="left"/>
      <w:spacing w:line="360" w:lineRule="auto"/>
    </w:pPr>
    <w:rPr>
      <w:rFonts w:eastAsia="Calibri"/>
      <w:sz w:val="28"/>
      <w:szCs w:val="28"/>
      <w:lang w:eastAsia="ko-KR"/>
    </w:rPr>
  </w:style>
  <w:style w:type="paragraph" w:styleId="1939" w:customStyle="1">
    <w:name w:val="Табл_текст"/>
    <w:basedOn w:val="1280"/>
    <w:qFormat/>
    <w:pPr>
      <w:ind w:firstLine="0"/>
      <w:jc w:val="left"/>
      <w:spacing w:line="360" w:lineRule="auto"/>
    </w:pPr>
    <w:rPr>
      <w:rFonts w:eastAsia="Calibri"/>
      <w:sz w:val="28"/>
      <w:szCs w:val="28"/>
      <w:lang w:eastAsia="ko-KR"/>
    </w:rPr>
  </w:style>
  <w:style w:type="paragraph" w:styleId="1940" w:customStyle="1">
    <w:name w:val="Маркированный 3 уровень"/>
    <w:basedOn w:val="1280"/>
    <w:qFormat/>
    <w:pPr>
      <w:numPr>
        <w:ilvl w:val="0"/>
        <w:numId w:val="69"/>
      </w:numPr>
      <w:jc w:val="left"/>
      <w:spacing w:line="276" w:lineRule="auto"/>
    </w:pPr>
    <w:rPr>
      <w:rFonts w:eastAsia="Calibri"/>
      <w:spacing w:val="2"/>
      <w:sz w:val="28"/>
      <w:szCs w:val="28"/>
      <w:lang w:eastAsia="en-US"/>
    </w:rPr>
  </w:style>
  <w:style w:type="numbering" w:styleId="1941" w:customStyle="1">
    <w:name w:val="ph_additiontitle"/>
    <w:basedOn w:val="1292"/>
    <w:pPr>
      <w:numPr>
        <w:ilvl w:val="0"/>
        <w:numId w:val="70"/>
      </w:numPr>
    </w:pPr>
  </w:style>
  <w:style w:type="character" w:styleId="1942" w:customStyle="1">
    <w:name w:val="Адрес HTML Знак"/>
    <w:link w:val="1422"/>
    <w:semiHidden/>
    <w:rPr>
      <w:i/>
      <w:iCs/>
      <w:sz w:val="24"/>
    </w:rPr>
  </w:style>
  <w:style w:type="paragraph" w:styleId="1943" w:customStyle="1">
    <w:name w:val="Рис"/>
    <w:next w:val="1973"/>
    <w:link w:val="1996"/>
    <w:qFormat/>
    <w:pPr>
      <w:jc w:val="center"/>
      <w:keepLines/>
      <w:keepNext/>
      <w:spacing w:line="360" w:lineRule="auto"/>
    </w:pPr>
    <w:rPr>
      <w:spacing w:val="2"/>
      <w:sz w:val="28"/>
      <w:szCs w:val="28"/>
    </w:rPr>
  </w:style>
  <w:style w:type="paragraph" w:styleId="1944" w:customStyle="1">
    <w:name w:val="Рис Имя"/>
    <w:basedOn w:val="1280"/>
    <w:next w:val="1943"/>
    <w:link w:val="1995"/>
    <w:pPr>
      <w:ind w:firstLine="0"/>
      <w:jc w:val="center"/>
      <w:spacing w:before="240" w:after="360" w:line="288" w:lineRule="auto"/>
    </w:pPr>
    <w:rPr>
      <w:rFonts w:ascii="Tahoma" w:hAnsi="Tahoma" w:eastAsia="Calibri"/>
      <w:szCs w:val="24"/>
      <w:lang w:eastAsia="en-US"/>
    </w:rPr>
  </w:style>
  <w:style w:type="paragraph" w:styleId="1945" w:customStyle="1">
    <w:name w:val="Маркированный 1 уровень"/>
    <w:link w:val="2005"/>
    <w:qFormat/>
    <w:pPr>
      <w:spacing w:before="60" w:after="60" w:line="288" w:lineRule="auto"/>
    </w:pPr>
    <w:rPr>
      <w:rFonts w:ascii="Tahoma" w:hAnsi="Tahoma"/>
      <w:spacing w:val="2"/>
      <w:sz w:val="24"/>
      <w:szCs w:val="24"/>
      <w:lang w:eastAsia="en-US"/>
    </w:rPr>
  </w:style>
  <w:style w:type="paragraph" w:styleId="1946" w:customStyle="1">
    <w:name w:val="Список_1)"/>
    <w:basedOn w:val="1900"/>
    <w:link w:val="1982"/>
    <w:qFormat/>
    <w:pPr>
      <w:numPr>
        <w:ilvl w:val="0"/>
        <w:numId w:val="71"/>
      </w:numPr>
      <w:spacing w:after="120"/>
    </w:pPr>
    <w:rPr>
      <w:szCs w:val="20"/>
    </w:rPr>
  </w:style>
  <w:style w:type="paragraph" w:styleId="1947" w:customStyle="1">
    <w:name w:val="Горячая клавиша (пункт меню)"/>
    <w:basedOn w:val="1280"/>
    <w:next w:val="1280"/>
    <w:link w:val="1948"/>
    <w:pPr>
      <w:ind w:firstLine="340"/>
      <w:jc w:val="left"/>
    </w:pPr>
    <w:rPr>
      <w:rFonts w:ascii="Tahoma" w:hAnsi="Tahoma" w:eastAsia="Calibri"/>
      <w:i/>
      <w:sz w:val="20"/>
      <w:lang w:eastAsia="ko-KR"/>
    </w:rPr>
  </w:style>
  <w:style w:type="character" w:styleId="1948" w:customStyle="1">
    <w:name w:val="Горячая клавиша (пункт меню) Знак Знак"/>
    <w:link w:val="1947"/>
    <w:rPr>
      <w:rFonts w:ascii="Tahoma" w:hAnsi="Tahoma" w:eastAsia="Calibri"/>
      <w:i/>
      <w:lang w:eastAsia="ko-KR"/>
    </w:rPr>
  </w:style>
  <w:style w:type="paragraph" w:styleId="1949" w:customStyle="1">
    <w:name w:val="Примечание (текст)"/>
    <w:basedOn w:val="1280"/>
    <w:link w:val="1950"/>
    <w:pPr>
      <w:ind w:left="567" w:right="567" w:firstLine="0"/>
      <w:jc w:val="left"/>
      <w:spacing w:before="120" w:after="160"/>
      <w:pBdr>
        <w:top w:val="single" w:color="000000" w:sz="4" w:space="6"/>
        <w:left w:val="single" w:color="000000" w:sz="4" w:space="6"/>
        <w:bottom w:val="single" w:color="000000" w:sz="4" w:space="6"/>
        <w:right w:val="single" w:color="000000" w:sz="4" w:space="6"/>
      </w:pBdr>
    </w:pPr>
    <w:rPr>
      <w:rFonts w:ascii="Tahoma" w:hAnsi="Tahoma" w:eastAsia="Calibri"/>
      <w:sz w:val="20"/>
      <w:szCs w:val="28"/>
      <w:lang w:eastAsia="ko-KR"/>
    </w:rPr>
  </w:style>
  <w:style w:type="character" w:styleId="1950" w:customStyle="1">
    <w:name w:val="Примечание (текст) Знак"/>
    <w:link w:val="1949"/>
    <w:rPr>
      <w:rFonts w:ascii="Tahoma" w:hAnsi="Tahoma" w:eastAsia="Calibri"/>
      <w:szCs w:val="28"/>
      <w:lang w:eastAsia="ko-KR"/>
    </w:rPr>
  </w:style>
  <w:style w:type="paragraph" w:styleId="1951" w:customStyle="1">
    <w:name w:val="Маркированный 2 уровень"/>
    <w:basedOn w:val="1945"/>
    <w:qFormat/>
    <w:pPr>
      <w:numPr>
        <w:ilvl w:val="0"/>
        <w:numId w:val="72"/>
      </w:numPr>
      <w:ind w:left="360" w:firstLine="0"/>
      <w:jc w:val="both"/>
      <w:spacing w:before="0" w:after="0" w:line="276" w:lineRule="auto"/>
      <w:tabs>
        <w:tab w:val="num" w:pos="360" w:leader="none"/>
        <w:tab w:val="num" w:pos="1003" w:leader="none"/>
        <w:tab w:val="num" w:pos="1701" w:leader="none"/>
      </w:tabs>
    </w:pPr>
    <w:rPr>
      <w:rFonts w:ascii="Times New Roman" w:hAnsi="Times New Roman"/>
    </w:rPr>
  </w:style>
  <w:style w:type="paragraph" w:styleId="1952" w:customStyle="1">
    <w:name w:val="Стиль Заголовок 1 + По правому краю"/>
    <w:basedOn w:val="1281"/>
    <w:pPr>
      <w:contextualSpacing w:val="0"/>
      <w:ind w:left="375" w:hanging="375"/>
      <w:jc w:val="right"/>
      <w:pageBreakBefore w:val="0"/>
      <w:spacing w:before="360" w:line="360" w:lineRule="auto"/>
      <w:tabs>
        <w:tab w:val="left" w:pos="0" w:leader="none"/>
        <w:tab w:val="left" w:pos="709" w:leader="none"/>
        <w:tab w:val="left" w:pos="851" w:leader="none"/>
      </w:tabs>
    </w:pPr>
    <w:rPr>
      <w:rFonts w:eastAsiaTheme="minorEastAsia"/>
      <w:bCs/>
      <w:sz w:val="28"/>
      <w:szCs w:val="20"/>
      <w:lang w:eastAsia="en-US"/>
    </w:rPr>
  </w:style>
  <w:style w:type="paragraph" w:styleId="1953" w:customStyle="1">
    <w:name w:val="Стиль Стиль Заголовок 1 + По правому краю + По центру"/>
    <w:basedOn w:val="1952"/>
    <w:pPr>
      <w:jc w:val="center"/>
    </w:pPr>
  </w:style>
  <w:style w:type="paragraph" w:styleId="1954" w:customStyle="1">
    <w:name w:val="Стиль Текст пункта + Times New Roman"/>
    <w:basedOn w:val="1900"/>
    <w:pPr>
      <w:spacing w:after="120"/>
    </w:pPr>
    <w:rPr>
      <w:rFonts w:eastAsia="Calibri"/>
      <w:spacing w:val="0"/>
    </w:rPr>
  </w:style>
  <w:style w:type="paragraph" w:styleId="1955" w:customStyle="1">
    <w:name w:val="список_1"/>
    <w:basedOn w:val="1280"/>
    <w:link w:val="1956"/>
    <w:qFormat/>
    <w:pPr>
      <w:numPr>
        <w:ilvl w:val="0"/>
        <w:numId w:val="73"/>
      </w:numPr>
      <w:jc w:val="left"/>
      <w:spacing w:line="259" w:lineRule="auto"/>
    </w:pPr>
    <w:rPr>
      <w:rFonts w:ascii="Calibri" w:hAnsi="Calibri" w:eastAsia="Calibri"/>
      <w:szCs w:val="24"/>
      <w:lang w:eastAsia="ko-KR"/>
    </w:rPr>
  </w:style>
  <w:style w:type="character" w:styleId="1956" w:customStyle="1">
    <w:name w:val="список_1 Знак"/>
    <w:link w:val="1955"/>
    <w:rPr>
      <w:rFonts w:ascii="Calibri" w:hAnsi="Calibri" w:eastAsia="Calibri"/>
      <w:sz w:val="24"/>
      <w:szCs w:val="24"/>
      <w:lang w:eastAsia="ko-KR"/>
    </w:rPr>
  </w:style>
  <w:style w:type="paragraph" w:styleId="1957" w:customStyle="1">
    <w:name w:val="Заг_табл"/>
    <w:basedOn w:val="1280"/>
    <w:pPr>
      <w:numPr>
        <w:ilvl w:val="0"/>
        <w:numId w:val="74"/>
      </w:numPr>
      <w:jc w:val="left"/>
      <w:spacing w:before="240" w:after="80"/>
    </w:pPr>
    <w:rPr>
      <w:rFonts w:ascii="Calibri" w:hAnsi="Calibri" w:eastAsia="Calibri"/>
      <w:b/>
      <w:szCs w:val="24"/>
      <w:lang w:eastAsia="en-US"/>
    </w:rPr>
  </w:style>
  <w:style w:type="paragraph" w:styleId="1958" w:customStyle="1">
    <w:name w:val="Название1"/>
    <w:basedOn w:val="1873"/>
    <w:pPr>
      <w:jc w:val="center"/>
    </w:pPr>
    <w:rPr>
      <w:rFonts w:ascii="Arial" w:hAnsi="Arial"/>
      <w:b/>
      <w:sz w:val="22"/>
      <w:szCs w:val="20"/>
    </w:rPr>
  </w:style>
  <w:style w:type="paragraph" w:styleId="1959" w:customStyle="1">
    <w:name w:val="Основной текст 21"/>
    <w:basedOn w:val="1873"/>
    <w:pPr>
      <w:ind w:right="-74"/>
      <w:jc w:val="both"/>
    </w:pPr>
    <w:rPr>
      <w:rFonts w:ascii="Arial" w:hAnsi="Arial"/>
      <w:sz w:val="16"/>
      <w:szCs w:val="20"/>
    </w:rPr>
  </w:style>
  <w:style w:type="paragraph" w:styleId="1960" w:customStyle="1">
    <w:name w:val="список_2"/>
    <w:basedOn w:val="1955"/>
    <w:qFormat/>
    <w:pPr>
      <w:numPr>
        <w:ilvl w:val="1"/>
        <w:numId w:val="75"/>
      </w:numPr>
      <w:ind w:left="1440" w:hanging="283"/>
      <w:tabs>
        <w:tab w:val="num" w:pos="360" w:leader="none"/>
        <w:tab w:val="num" w:pos="1326" w:leader="none"/>
        <w:tab w:val="num" w:pos="1440" w:leader="none"/>
        <w:tab w:val="clear" w:pos="2149" w:leader="none"/>
      </w:tabs>
    </w:pPr>
  </w:style>
  <w:style w:type="paragraph" w:styleId="1961" w:customStyle="1">
    <w:name w:val="4_Наименование системы"/>
    <w:qFormat/>
    <w:pPr>
      <w:jc w:val="center"/>
    </w:pPr>
    <w:rPr>
      <w:rFonts w:eastAsia="Calibri"/>
      <w:caps/>
      <w:sz w:val="28"/>
      <w:szCs w:val="22"/>
      <w:lang w:eastAsia="en-US"/>
    </w:rPr>
  </w:style>
  <w:style w:type="paragraph" w:styleId="1962" w:customStyle="1">
    <w:name w:val="6_Разработчик&lt;Заголовок&gt;"/>
    <w:basedOn w:val="1961"/>
    <w:qFormat/>
  </w:style>
  <w:style w:type="paragraph" w:styleId="1963" w:customStyle="1">
    <w:name w:val="5_Наименование документа"/>
    <w:basedOn w:val="1280"/>
    <w:qFormat/>
    <w:pPr>
      <w:ind w:firstLine="0"/>
      <w:jc w:val="center"/>
    </w:pPr>
    <w:rPr>
      <w:rFonts w:eastAsia="Calibri"/>
      <w:sz w:val="28"/>
      <w:szCs w:val="28"/>
      <w:lang w:eastAsia="ko-KR"/>
    </w:rPr>
  </w:style>
  <w:style w:type="paragraph" w:styleId="1964" w:customStyle="1">
    <w:name w:val="7_Разработчик&lt;Текст&gt;"/>
    <w:basedOn w:val="1280"/>
    <w:qFormat/>
    <w:pPr>
      <w:ind w:firstLine="33"/>
      <w:jc w:val="left"/>
      <w:spacing w:line="259" w:lineRule="auto"/>
    </w:pPr>
    <w:rPr>
      <w:rFonts w:eastAsia="Calibri"/>
      <w:sz w:val="28"/>
      <w:szCs w:val="28"/>
      <w:lang w:eastAsia="ko-KR"/>
    </w:rPr>
  </w:style>
  <w:style w:type="paragraph" w:styleId="1965" w:customStyle="1">
    <w:name w:val="8_&lt;Город&gt; и &lt;Год&gt;"/>
    <w:basedOn w:val="1280"/>
    <w:qFormat/>
    <w:pPr>
      <w:ind w:firstLine="0"/>
      <w:jc w:val="center"/>
      <w:spacing w:line="259" w:lineRule="auto"/>
    </w:pPr>
    <w:rPr>
      <w:rFonts w:eastAsia="Calibri"/>
      <w:bCs/>
      <w:sz w:val="28"/>
      <w:szCs w:val="28"/>
      <w:lang w:eastAsia="ko-KR"/>
    </w:rPr>
  </w:style>
  <w:style w:type="paragraph" w:styleId="1966" w:customStyle="1">
    <w:name w:val="1_Утверждаю"/>
    <w:qFormat/>
    <w:pPr>
      <w:jc w:val="center"/>
    </w:pPr>
    <w:rPr>
      <w:rFonts w:eastAsia="Calibri"/>
      <w:b/>
      <w:bCs/>
      <w:caps/>
      <w:sz w:val="28"/>
      <w:szCs w:val="28"/>
      <w:lang w:eastAsia="en-US"/>
    </w:rPr>
  </w:style>
  <w:style w:type="paragraph" w:styleId="1967" w:customStyle="1">
    <w:name w:val="2_Утверждаю&lt;Текст&gt;"/>
    <w:basedOn w:val="1280"/>
    <w:qFormat/>
    <w:pPr>
      <w:ind w:firstLine="0"/>
      <w:jc w:val="left"/>
    </w:pPr>
    <w:rPr>
      <w:rFonts w:eastAsia="Calibri"/>
      <w:bCs/>
      <w:sz w:val="28"/>
      <w:szCs w:val="28"/>
      <w:lang w:eastAsia="en-US"/>
    </w:rPr>
  </w:style>
  <w:style w:type="paragraph" w:styleId="1968" w:customStyle="1">
    <w:name w:val="3_Утверждаю &lt;Подпись&gt;"/>
    <w:basedOn w:val="1280"/>
    <w:qFormat/>
    <w:pPr>
      <w:ind w:firstLine="0"/>
    </w:pPr>
    <w:rPr>
      <w:rFonts w:eastAsia="Calibri"/>
      <w:bCs/>
      <w:sz w:val="28"/>
      <w:szCs w:val="28"/>
      <w:lang w:eastAsia="en-US"/>
    </w:rPr>
  </w:style>
  <w:style w:type="paragraph" w:styleId="1969" w:customStyle="1">
    <w:name w:val="9_Перечень терминов и сокращений"/>
    <w:basedOn w:val="1280"/>
    <w:qFormat/>
    <w:pPr>
      <w:contextualSpacing/>
      <w:ind w:firstLine="0"/>
      <w:jc w:val="center"/>
      <w:keepLines/>
      <w:keepNext/>
      <w:pageBreakBefore/>
      <w:spacing w:before="360" w:after="360" w:line="360" w:lineRule="auto"/>
      <w:outlineLvl w:val="0"/>
    </w:pPr>
    <w:rPr>
      <w:rFonts w:eastAsia="Calibri"/>
      <w:b/>
      <w:bCs/>
      <w:caps/>
      <w:sz w:val="28"/>
      <w:szCs w:val="28"/>
      <w:lang w:eastAsia="ko-KR"/>
    </w:rPr>
  </w:style>
  <w:style w:type="paragraph" w:styleId="1970" w:customStyle="1">
    <w:name w:val="90_Пер_терм_и_сокр &lt;Обозначение и описание&gt;"/>
    <w:qFormat/>
    <w:pPr>
      <w:jc w:val="center"/>
      <w:spacing w:line="360" w:lineRule="auto"/>
      <w:widowControl w:val="off"/>
    </w:pPr>
    <w:rPr>
      <w:b/>
      <w:spacing w:val="2"/>
      <w:sz w:val="28"/>
      <w:szCs w:val="28"/>
      <w:lang w:eastAsia="en-US"/>
    </w:rPr>
  </w:style>
  <w:style w:type="paragraph" w:styleId="1971" w:customStyle="1">
    <w:name w:val="91_Пер_терм_и_сокр &lt;Текст&gt;"/>
    <w:qFormat/>
    <w:pPr>
      <w:spacing w:line="360" w:lineRule="auto"/>
      <w:widowControl w:val="off"/>
    </w:pPr>
    <w:rPr>
      <w:spacing w:val="2"/>
      <w:sz w:val="28"/>
      <w:szCs w:val="28"/>
      <w:lang w:eastAsia="en-US"/>
    </w:rPr>
  </w:style>
  <w:style w:type="paragraph" w:styleId="1972" w:customStyle="1">
    <w:name w:val="Оглавление"/>
    <w:basedOn w:val="1280"/>
    <w:qFormat/>
    <w:pPr>
      <w:contextualSpacing/>
      <w:ind w:firstLine="0"/>
      <w:jc w:val="center"/>
      <w:keepLines/>
      <w:keepNext/>
      <w:pageBreakBefore/>
      <w:spacing w:before="360" w:after="360" w:line="360" w:lineRule="auto"/>
    </w:pPr>
    <w:rPr>
      <w:rFonts w:ascii="Times New Roman Полужирный" w:hAnsi="Times New Roman Полужирный" w:eastAsia="Calibri"/>
      <w:b/>
      <w:bCs/>
      <w:caps/>
      <w:sz w:val="28"/>
      <w:szCs w:val="28"/>
      <w:lang w:eastAsia="ko-KR"/>
    </w:rPr>
  </w:style>
  <w:style w:type="paragraph" w:styleId="1973" w:customStyle="1">
    <w:name w:val="Рис_имя"/>
    <w:next w:val="1900"/>
    <w:qFormat/>
    <w:pPr>
      <w:jc w:val="center"/>
      <w:keepLines/>
      <w:keepNext/>
      <w:spacing w:line="360" w:lineRule="auto"/>
    </w:pPr>
    <w:rPr>
      <w:spacing w:val="2"/>
      <w:sz w:val="28"/>
      <w:szCs w:val="28"/>
    </w:rPr>
  </w:style>
  <w:style w:type="paragraph" w:styleId="1974" w:customStyle="1">
    <w:name w:val="Список_2"/>
    <w:basedOn w:val="1975"/>
    <w:qFormat/>
    <w:pPr>
      <w:ind w:left="709"/>
    </w:pPr>
  </w:style>
  <w:style w:type="paragraph" w:styleId="1975" w:customStyle="1">
    <w:name w:val="Список_1"/>
    <w:basedOn w:val="1280"/>
    <w:link w:val="1976"/>
    <w:qFormat/>
    <w:pPr>
      <w:ind w:firstLine="0"/>
      <w:spacing w:line="360" w:lineRule="auto"/>
    </w:pPr>
    <w:rPr>
      <w:rFonts w:eastAsia="Calibri"/>
      <w:sz w:val="28"/>
      <w:szCs w:val="28"/>
      <w:lang w:eastAsia="ko-KR"/>
    </w:rPr>
  </w:style>
  <w:style w:type="character" w:styleId="1976" w:customStyle="1">
    <w:name w:val="Список_1 Знак"/>
    <w:link w:val="1975"/>
    <w:rPr>
      <w:rFonts w:eastAsia="Calibri"/>
      <w:sz w:val="28"/>
      <w:szCs w:val="28"/>
      <w:lang w:eastAsia="ko-KR"/>
    </w:rPr>
  </w:style>
  <w:style w:type="paragraph" w:styleId="1977" w:customStyle="1">
    <w:name w:val="Список_3"/>
    <w:basedOn w:val="1974"/>
    <w:qFormat/>
    <w:pPr>
      <w:ind w:left="992"/>
    </w:pPr>
  </w:style>
  <w:style w:type="paragraph" w:styleId="1978" w:customStyle="1">
    <w:name w:val="Лист регистрации изменений"/>
    <w:qFormat/>
    <w:pPr>
      <w:jc w:val="center"/>
      <w:keepLines/>
      <w:keepNext/>
      <w:pageBreakBefore/>
      <w:spacing w:before="360" w:after="360" w:line="360" w:lineRule="auto"/>
    </w:pPr>
    <w:rPr>
      <w:b/>
      <w:bCs/>
      <w:caps/>
      <w:sz w:val="28"/>
      <w:szCs w:val="28"/>
    </w:rPr>
  </w:style>
  <w:style w:type="paragraph" w:styleId="1979" w:customStyle="1">
    <w:name w:val="Лист регистрации изменений &lt;Текст&gt;"/>
    <w:qFormat/>
    <w:pPr>
      <w:jc w:val="center"/>
    </w:pPr>
    <w:rPr>
      <w:rFonts w:eastAsia="Calibri"/>
      <w:b/>
      <w:sz w:val="24"/>
      <w:szCs w:val="32"/>
      <w:lang w:eastAsia="en-US"/>
    </w:rPr>
  </w:style>
  <w:style w:type="paragraph" w:styleId="1980" w:customStyle="1">
    <w:name w:val="Список-"/>
    <w:basedOn w:val="1900"/>
    <w:link w:val="2003"/>
    <w:qFormat/>
    <w:pPr>
      <w:numPr>
        <w:ilvl w:val="0"/>
        <w:numId w:val="78"/>
      </w:numPr>
      <w:ind w:left="993" w:hanging="284"/>
    </w:pPr>
    <w:rPr>
      <w:rFonts w:eastAsia="Calibri"/>
      <w:spacing w:val="0"/>
    </w:rPr>
  </w:style>
  <w:style w:type="paragraph" w:styleId="1981" w:customStyle="1">
    <w:name w:val="Содержание"/>
    <w:basedOn w:val="1280"/>
    <w:qFormat/>
    <w:pPr>
      <w:ind w:firstLine="0"/>
      <w:jc w:val="center"/>
      <w:spacing w:before="120" w:after="120"/>
    </w:pPr>
    <w:rPr>
      <w:rFonts w:eastAsia="Calibri"/>
      <w:b/>
      <w:caps/>
      <w:sz w:val="28"/>
      <w:szCs w:val="28"/>
      <w:lang w:eastAsia="en-US"/>
    </w:rPr>
  </w:style>
  <w:style w:type="character" w:styleId="1982" w:customStyle="1">
    <w:name w:val="Список_1) Знак"/>
    <w:link w:val="1946"/>
    <w:rPr>
      <w:spacing w:val="2"/>
      <w:sz w:val="28"/>
      <w:lang w:eastAsia="en-US"/>
    </w:rPr>
  </w:style>
  <w:style w:type="paragraph" w:styleId="1983" w:customStyle="1">
    <w:name w:val="Список сокращений"/>
    <w:basedOn w:val="1981"/>
    <w:qFormat/>
  </w:style>
  <w:style w:type="paragraph" w:styleId="1984" w:customStyle="1">
    <w:name w:val="Список--"/>
    <w:basedOn w:val="1980"/>
    <w:qFormat/>
    <w:pPr>
      <w:ind w:left="1701"/>
    </w:pPr>
  </w:style>
  <w:style w:type="paragraph" w:styleId="1985" w:customStyle="1">
    <w:name w:val="Список---"/>
    <w:basedOn w:val="1984"/>
    <w:qFormat/>
    <w:pPr>
      <w:ind w:left="2268"/>
    </w:pPr>
  </w:style>
  <w:style w:type="paragraph" w:styleId="1986" w:customStyle="1">
    <w:name w:val="Списко 1)"/>
    <w:qFormat/>
    <w:pPr>
      <w:numPr>
        <w:ilvl w:val="0"/>
        <w:numId w:val="76"/>
      </w:numPr>
      <w:ind w:left="1134" w:hanging="425"/>
      <w:spacing w:line="360" w:lineRule="auto"/>
    </w:pPr>
    <w:rPr>
      <w:rFonts w:eastAsia="Calibri"/>
      <w:sz w:val="28"/>
      <w:szCs w:val="28"/>
      <w:lang w:eastAsia="en-US"/>
    </w:rPr>
  </w:style>
  <w:style w:type="paragraph" w:styleId="1987" w:customStyle="1">
    <w:name w:val="Запросы на изменение"/>
    <w:basedOn w:val="1981"/>
    <w:qFormat/>
    <w:pPr>
      <w:pageBreakBefore/>
    </w:pPr>
  </w:style>
  <w:style w:type="paragraph" w:styleId="1988" w:customStyle="1">
    <w:name w:val="Исполнители"/>
    <w:basedOn w:val="1900"/>
    <w:qFormat/>
    <w:pPr>
      <w:ind w:firstLine="0"/>
      <w:pageBreakBefore/>
      <w:spacing w:before="240" w:line="240" w:lineRule="auto"/>
    </w:pPr>
    <w:rPr>
      <w:rFonts w:ascii="Times New Roman Полужирный" w:hAnsi="Times New Roman Полужирный" w:eastAsia="Calibri"/>
      <w:b/>
      <w:caps/>
      <w:spacing w:val="0"/>
    </w:rPr>
  </w:style>
  <w:style w:type="paragraph" w:styleId="1989" w:customStyle="1">
    <w:name w:val="Согласовано"/>
    <w:basedOn w:val="1988"/>
    <w:qFormat/>
    <w:pPr>
      <w:pageBreakBefore w:val="0"/>
    </w:pPr>
  </w:style>
  <w:style w:type="paragraph" w:styleId="1990" w:customStyle="1">
    <w:name w:val="_Титул_Название документа"/>
    <w:basedOn w:val="1280"/>
    <w:link w:val="1991"/>
    <w:pPr>
      <w:ind w:firstLine="0"/>
      <w:jc w:val="center"/>
      <w:spacing w:before="60"/>
    </w:pPr>
    <w:rPr>
      <w:rFonts w:eastAsia="Calibri"/>
      <w:sz w:val="28"/>
      <w:szCs w:val="28"/>
      <w:lang w:eastAsia="ko-KR"/>
    </w:rPr>
  </w:style>
  <w:style w:type="character" w:styleId="1991" w:customStyle="1">
    <w:name w:val="_Титул_Название документа Знак"/>
    <w:link w:val="1990"/>
    <w:rPr>
      <w:rFonts w:eastAsia="Calibri"/>
      <w:sz w:val="28"/>
      <w:szCs w:val="28"/>
      <w:lang w:eastAsia="ko-KR"/>
    </w:rPr>
  </w:style>
  <w:style w:type="paragraph" w:styleId="1992" w:customStyle="1">
    <w:name w:val="_Заголовок таблицы"/>
    <w:basedOn w:val="1280"/>
    <w:pPr>
      <w:ind w:firstLine="0"/>
      <w:jc w:val="center"/>
      <w:keepNext/>
      <w:spacing w:before="120" w:after="120"/>
    </w:pPr>
    <w:rPr>
      <w:rFonts w:eastAsia="Calibri"/>
      <w:b/>
      <w:sz w:val="28"/>
      <w:szCs w:val="28"/>
      <w:lang w:eastAsia="ko-KR"/>
    </w:rPr>
  </w:style>
  <w:style w:type="paragraph" w:styleId="1993" w:customStyle="1">
    <w:name w:val="_Основной с красной строки"/>
    <w:basedOn w:val="1280"/>
    <w:link w:val="1994"/>
    <w:qFormat/>
    <w:pPr>
      <w:ind w:firstLine="709"/>
      <w:spacing w:after="120" w:line="360" w:lineRule="auto"/>
    </w:pPr>
    <w:rPr>
      <w:rFonts w:eastAsia="Calibri"/>
      <w:sz w:val="28"/>
      <w:szCs w:val="28"/>
      <w:lang w:eastAsia="ko-KR"/>
    </w:rPr>
  </w:style>
  <w:style w:type="character" w:styleId="1994" w:customStyle="1">
    <w:name w:val="_Основной с красной строки Знак"/>
    <w:link w:val="1993"/>
    <w:rPr>
      <w:rFonts w:eastAsia="Calibri"/>
      <w:sz w:val="28"/>
      <w:szCs w:val="28"/>
      <w:lang w:eastAsia="ko-KR"/>
    </w:rPr>
  </w:style>
  <w:style w:type="character" w:styleId="1995" w:customStyle="1">
    <w:name w:val="Рис Имя Знак"/>
    <w:link w:val="1944"/>
    <w:rPr>
      <w:rFonts w:ascii="Tahoma" w:hAnsi="Tahoma" w:eastAsia="Calibri"/>
      <w:sz w:val="24"/>
      <w:szCs w:val="24"/>
      <w:lang w:eastAsia="en-US"/>
    </w:rPr>
  </w:style>
  <w:style w:type="character" w:styleId="1996" w:customStyle="1">
    <w:name w:val="Рис Знак"/>
    <w:link w:val="1943"/>
    <w:rPr>
      <w:spacing w:val="2"/>
      <w:sz w:val="28"/>
      <w:szCs w:val="28"/>
    </w:rPr>
  </w:style>
  <w:style w:type="paragraph" w:styleId="1997" w:customStyle="1">
    <w:name w:val="Номер таблицы"/>
    <w:basedOn w:val="1280"/>
    <w:pPr>
      <w:ind w:firstLine="340"/>
      <w:jc w:val="right"/>
      <w:spacing w:before="60"/>
      <w:widowControl w:val="off"/>
    </w:pPr>
    <w:rPr>
      <w:rFonts w:ascii="Verdana" w:hAnsi="Verdana" w:eastAsia="Calibri"/>
      <w:sz w:val="20"/>
      <w:szCs w:val="28"/>
      <w:lang w:eastAsia="ko-KR"/>
    </w:rPr>
  </w:style>
  <w:style w:type="paragraph" w:styleId="1998" w:customStyle="1">
    <w:name w:val="Ненумерованный список"/>
    <w:basedOn w:val="1280"/>
    <w:link w:val="1999"/>
    <w:pPr>
      <w:numPr>
        <w:ilvl w:val="0"/>
        <w:numId w:val="77"/>
      </w:numPr>
      <w:spacing w:after="60" w:line="360" w:lineRule="auto"/>
    </w:pPr>
    <w:rPr>
      <w:rFonts w:ascii="Verdana" w:hAnsi="Verdana" w:eastAsia="Calibri"/>
      <w:bCs/>
      <w:spacing w:val="-5"/>
      <w:sz w:val="20"/>
      <w:lang w:eastAsia="en-US"/>
    </w:rPr>
  </w:style>
  <w:style w:type="character" w:styleId="1999" w:customStyle="1">
    <w:name w:val="Ненумерованный список Знак"/>
    <w:link w:val="1998"/>
    <w:rPr>
      <w:rFonts w:ascii="Verdana" w:hAnsi="Verdana" w:eastAsia="Calibri"/>
      <w:bCs/>
      <w:spacing w:val="-5"/>
      <w:lang w:eastAsia="en-US"/>
    </w:rPr>
  </w:style>
  <w:style w:type="paragraph" w:styleId="2000" w:customStyle="1">
    <w:name w:val="Стиль текста документа"/>
    <w:basedOn w:val="1280"/>
    <w:pPr>
      <w:ind w:firstLine="720"/>
    </w:pPr>
    <w:rPr>
      <w:rFonts w:eastAsia="Calibri"/>
      <w:sz w:val="28"/>
      <w:lang w:val="en-US" w:eastAsia="en-US"/>
    </w:rPr>
  </w:style>
  <w:style w:type="paragraph" w:styleId="2001" w:customStyle="1">
    <w:name w:val="Таблица номер 2"/>
    <w:basedOn w:val="1280"/>
    <w:pPr>
      <w:ind w:firstLine="709"/>
      <w:jc w:val="left"/>
      <w:spacing w:before="120" w:after="120"/>
    </w:pPr>
    <w:rPr>
      <w:rFonts w:eastAsia="Calibri"/>
      <w:sz w:val="28"/>
      <w:lang w:eastAsia="ko-KR"/>
    </w:rPr>
  </w:style>
  <w:style w:type="character" w:styleId="2002" w:customStyle="1">
    <w:name w:val="Текст пункта Знак1"/>
    <w:rPr>
      <w:rFonts w:ascii="Times New Roman" w:hAnsi="Times New Roman" w:eastAsia="Times New Roman" w:cs="Times New Roman"/>
      <w:spacing w:val="2"/>
      <w:sz w:val="24"/>
      <w:szCs w:val="24"/>
      <w:lang w:eastAsia="en-US"/>
    </w:rPr>
  </w:style>
  <w:style w:type="character" w:styleId="2003" w:customStyle="1">
    <w:name w:val="Список- Знак1"/>
    <w:link w:val="1980"/>
    <w:rPr>
      <w:rFonts w:eastAsia="Calibri"/>
      <w:sz w:val="28"/>
      <w:szCs w:val="28"/>
      <w:lang w:eastAsia="en-US"/>
    </w:rPr>
  </w:style>
  <w:style w:type="paragraph" w:styleId="2004" w:customStyle="1">
    <w:name w:val="Основной т.бо"/>
    <w:basedOn w:val="1692"/>
    <w:qFormat/>
    <w:pPr>
      <w:ind w:firstLine="0"/>
      <w:spacing w:before="0" w:beforeAutospacing="0" w:after="0" w:afterAutospacing="0" w:line="360" w:lineRule="exact"/>
    </w:pPr>
    <w:rPr>
      <w:rFonts w:eastAsia="Calibri"/>
      <w:lang w:val="en-US" w:eastAsia="ko-KR"/>
    </w:rPr>
  </w:style>
  <w:style w:type="character" w:styleId="2005" w:customStyle="1">
    <w:name w:val="Маркированный 1 уровень Знак"/>
    <w:link w:val="1945"/>
    <w:rPr>
      <w:rFonts w:ascii="Tahoma" w:hAnsi="Tahoma"/>
      <w:spacing w:val="2"/>
      <w:sz w:val="24"/>
      <w:szCs w:val="24"/>
      <w:lang w:eastAsia="en-US"/>
    </w:rPr>
  </w:style>
  <w:style w:type="paragraph" w:styleId="2006" w:customStyle="1">
    <w:name w:val="список-"/>
    <w:basedOn w:val="1900"/>
    <w:qFormat/>
    <w:pPr>
      <w:numPr>
        <w:ilvl w:val="0"/>
        <w:numId w:val="79"/>
      </w:numPr>
      <w:ind w:left="993" w:hanging="284"/>
      <w:tabs>
        <w:tab w:val="num" w:pos="360" w:leader="none"/>
        <w:tab w:val="num" w:pos="1134" w:leader="none"/>
        <w:tab w:val="num" w:pos="1426" w:leader="none"/>
        <w:tab w:val="num" w:pos="1755" w:leader="none"/>
      </w:tabs>
    </w:pPr>
    <w:rPr>
      <w:sz w:val="24"/>
      <w:lang w:eastAsia="ru-RU"/>
    </w:rPr>
  </w:style>
  <w:style w:type="numbering" w:styleId="2007" w:customStyle="1">
    <w:name w:val="Галочка"/>
  </w:style>
  <w:style w:type="numbering" w:styleId="2008" w:customStyle="1">
    <w:name w:val=".Список а)"/>
    <w:basedOn w:val="1292"/>
    <w:pPr>
      <w:numPr>
        <w:ilvl w:val="0"/>
        <w:numId w:val="80"/>
      </w:numPr>
    </w:pPr>
  </w:style>
  <w:style w:type="character" w:styleId="2009" w:customStyle="1">
    <w:name w:val="Знак Знак Знак"/>
    <w:rPr>
      <w:rFonts w:ascii="Courier New" w:hAnsi="Courier New" w:cs="Courier New"/>
      <w:lang w:val="ru-RU" w:eastAsia="ru-RU" w:bidi="ar-SA"/>
    </w:rPr>
  </w:style>
  <w:style w:type="character" w:styleId="2010" w:customStyle="1">
    <w:name w:val="Текст таблицы Знак"/>
    <w:link w:val="1711"/>
    <w:rPr>
      <w:sz w:val="28"/>
      <w:szCs w:val="22"/>
    </w:rPr>
  </w:style>
  <w:style w:type="character" w:styleId="2011" w:customStyle="1">
    <w:name w:val="Список- Знак"/>
    <w:rPr>
      <w:rFonts w:ascii="Times New Roman" w:hAnsi="Times New Roman" w:eastAsia="Times New Roman"/>
      <w:spacing w:val="2"/>
      <w:sz w:val="28"/>
      <w:szCs w:val="28"/>
      <w:lang w:eastAsia="en-US"/>
    </w:rPr>
  </w:style>
  <w:style w:type="character" w:styleId="2012" w:customStyle="1">
    <w:name w:val="Продолжение списка Знак"/>
    <w:link w:val="1362"/>
    <w:rPr>
      <w:sz w:val="24"/>
    </w:rPr>
  </w:style>
  <w:style w:type="character" w:styleId="2013" w:customStyle="1">
    <w:name w:val="Текст концевой сноски Знак1"/>
    <w:semiHidden/>
  </w:style>
  <w:style w:type="character" w:styleId="2014" w:customStyle="1">
    <w:name w:val="Маркированный список 2 Знак"/>
    <w:basedOn w:val="1290"/>
    <w:link w:val="1444"/>
    <w:rPr>
      <w:sz w:val="24"/>
    </w:rPr>
  </w:style>
  <w:style w:type="character" w:styleId="2015" w:customStyle="1">
    <w:name w:val="0 Основной текст Знак"/>
    <w:link w:val="1618"/>
    <w:uiPriority w:val="99"/>
    <w:rPr>
      <w:color w:val="000000"/>
      <w:sz w:val="28"/>
      <w:szCs w:val="24"/>
    </w:rPr>
  </w:style>
  <w:style w:type="paragraph" w:styleId="2016" w:customStyle="1">
    <w:name w:val="Таблица"/>
    <w:basedOn w:val="1280"/>
    <w:link w:val="2017"/>
    <w:qFormat/>
    <w:pPr>
      <w:ind w:firstLine="0"/>
      <w:jc w:val="right"/>
      <w:keepNext/>
      <w:spacing w:before="60" w:after="120"/>
    </w:pPr>
    <w:rPr>
      <w:lang w:eastAsia="en-US"/>
    </w:rPr>
  </w:style>
  <w:style w:type="character" w:styleId="2017" w:customStyle="1">
    <w:name w:val="Таблица Знак"/>
    <w:link w:val="2016"/>
    <w:rPr>
      <w:sz w:val="24"/>
      <w:lang w:eastAsia="en-US"/>
    </w:rPr>
  </w:style>
  <w:style w:type="paragraph" w:styleId="2018" w:customStyle="1">
    <w:name w:val="перечень реквизитов"/>
    <w:basedOn w:val="1420"/>
    <w:qFormat/>
    <w:pPr>
      <w:numPr>
        <w:ilvl w:val="0"/>
        <w:numId w:val="81"/>
      </w:numPr>
      <w:contextualSpacing/>
    </w:pPr>
    <w:rPr>
      <w:sz w:val="28"/>
      <w:szCs w:val="28"/>
      <w:lang w:val="en-US" w:eastAsia="en-US"/>
    </w:rPr>
  </w:style>
  <w:style w:type="paragraph" w:styleId="2019" w:customStyle="1">
    <w:name w:val="OTR_Footer_center"/>
    <w:basedOn w:val="1280"/>
    <w:semiHidden/>
    <w:pPr>
      <w:ind w:left="21" w:firstLine="0"/>
      <w:jc w:val="center"/>
      <w:spacing w:line="360" w:lineRule="auto"/>
    </w:pPr>
    <w:rPr>
      <w:rFonts w:cs="Arial"/>
      <w:bCs/>
      <w:sz w:val="28"/>
    </w:rPr>
  </w:style>
  <w:style w:type="paragraph" w:styleId="2020" w:customStyle="1">
    <w:name w:val="OTR_Contents"/>
    <w:basedOn w:val="1280"/>
    <w:semiHidden/>
    <w:pPr>
      <w:ind w:firstLine="0"/>
      <w:jc w:val="center"/>
      <w:keepNext/>
      <w:pageBreakBefore/>
      <w:spacing w:before="120" w:after="240"/>
    </w:pPr>
    <w:rPr>
      <w:b/>
      <w:sz w:val="28"/>
      <w:szCs w:val="32"/>
    </w:rPr>
  </w:style>
  <w:style w:type="paragraph" w:styleId="2021" w:customStyle="1">
    <w:name w:val="заголовок"/>
    <w:basedOn w:val="1283"/>
    <w:qFormat/>
    <w:pPr>
      <w:numPr>
        <w:ilvl w:val="0"/>
        <w:numId w:val="82"/>
      </w:numPr>
      <w:contextualSpacing w:val="0"/>
      <w:ind w:left="284" w:hanging="284"/>
      <w:spacing w:after="120"/>
      <w:tabs>
        <w:tab w:val="num" w:pos="0" w:leader="none"/>
        <w:tab w:val="left" w:pos="284" w:leader="none"/>
        <w:tab w:val="left" w:pos="851" w:leader="none"/>
        <w:tab w:val="left" w:pos="1418" w:leader="none"/>
        <w:tab w:val="left" w:pos="1701" w:leader="none"/>
        <w:tab w:val="left" w:pos="1985" w:leader="none"/>
        <w:tab w:val="clear" w:pos="2160" w:leader="none"/>
      </w:tabs>
    </w:pPr>
    <w:rPr>
      <w:rFonts w:cs="Times New Roman"/>
    </w:rPr>
  </w:style>
  <w:style w:type="paragraph" w:styleId="2022" w:customStyle="1">
    <w:name w:val="ОбычныйТаблица"/>
    <w:basedOn w:val="1280"/>
    <w:next w:val="1873"/>
    <w:qFormat/>
    <w:pPr>
      <w:ind w:left="68" w:right="57" w:firstLine="0"/>
      <w:jc w:val="center"/>
    </w:pPr>
    <w:rPr>
      <w:rFonts w:eastAsia="Calibri"/>
      <w:b/>
      <w:sz w:val="20"/>
      <w:szCs w:val="24"/>
    </w:rPr>
  </w:style>
  <w:style w:type="character" w:styleId="2023" w:customStyle="1">
    <w:name w:val="Продолжение списка Знак1"/>
    <w:rPr>
      <w:sz w:val="28"/>
      <w:szCs w:val="24"/>
      <w:lang w:val="ru-RU" w:eastAsia="ru-RU" w:bidi="ar-SA"/>
    </w:rPr>
  </w:style>
  <w:style w:type="table" w:styleId="2024" w:customStyle="1">
    <w:name w:val="Сетка таблицы1"/>
    <w:basedOn w:val="1291"/>
    <w:next w:val="1473"/>
    <w:uiPriority w:val="59"/>
    <w:rPr>
      <w:rFonts w:asciiTheme="minorHAnsi" w:hAnsiTheme="minorHAnsi" w:eastAsiaTheme="minorHAnsi" w:cstheme="minorBidi"/>
      <w:sz w:val="22"/>
      <w:szCs w:val="22"/>
      <w:lang w:eastAsia="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2025" w:customStyle="1">
    <w:name w:val="1 / 1.1 / 1.1.111"/>
    <w:pPr>
      <w:numPr>
        <w:ilvl w:val="0"/>
        <w:numId w:val="84"/>
      </w:numPr>
    </w:pPr>
  </w:style>
  <w:style w:type="paragraph" w:styleId="2026" w:customStyle="1">
    <w:name w:val="макрированный"/>
    <w:basedOn w:val="1280"/>
    <w:pPr>
      <w:numPr>
        <w:ilvl w:val="0"/>
        <w:numId w:val="85"/>
      </w:numPr>
      <w:spacing w:line="360" w:lineRule="auto"/>
      <w:tabs>
        <w:tab w:val="left" w:pos="5683" w:leader="none"/>
      </w:tabs>
    </w:pPr>
  </w:style>
  <w:style w:type="paragraph" w:styleId="2027" w:customStyle="1">
    <w:name w:val="Обычный маркированный 2-ой уровень Char"/>
    <w:basedOn w:val="2026"/>
    <w:pPr>
      <w:numPr>
        <w:ilvl w:val="1"/>
      </w:numPr>
      <w:ind w:left="1429" w:hanging="576"/>
      <w:tabs>
        <w:tab w:val="num" w:pos="1296" w:leader="none"/>
        <w:tab w:val="num" w:pos="1440" w:leader="none"/>
        <w:tab w:val="num" w:pos="1581" w:leader="none"/>
      </w:tabs>
    </w:pPr>
  </w:style>
  <w:style w:type="character" w:styleId="2028" w:customStyle="1">
    <w:name w:val="_EB_Normal Знак Знак"/>
    <w:semiHidden/>
    <w:rPr>
      <w:sz w:val="28"/>
    </w:rPr>
  </w:style>
  <w:style w:type="paragraph" w:styleId="2029" w:customStyle="1">
    <w:name w:val="_EB_Table_Num_Общие требования"/>
    <w:basedOn w:val="1280"/>
    <w:semiHidden/>
    <w:pPr>
      <w:ind w:left="57"/>
      <w:jc w:val="left"/>
      <w:spacing w:before="60" w:after="60"/>
      <w:tabs>
        <w:tab w:val="left" w:pos="284" w:leader="none"/>
      </w:tabs>
    </w:pPr>
    <w:rPr>
      <w:rFonts w:eastAsia="Calibri"/>
      <w:szCs w:val="24"/>
    </w:rPr>
  </w:style>
  <w:style w:type="paragraph" w:styleId="2030" w:customStyle="1">
    <w:name w:val="Булет 1"/>
    <w:basedOn w:val="1280"/>
    <w:link w:val="2031"/>
    <w:pPr>
      <w:numPr>
        <w:ilvl w:val="0"/>
        <w:numId w:val="86"/>
      </w:numPr>
      <w:contextualSpacing/>
      <w:spacing w:before="120" w:after="120" w:line="360" w:lineRule="auto"/>
    </w:pPr>
    <w:rPr>
      <w:rFonts w:eastAsia="Calibri"/>
      <w:szCs w:val="24"/>
      <w:lang w:eastAsia="ko-KR"/>
    </w:rPr>
  </w:style>
  <w:style w:type="character" w:styleId="2031" w:customStyle="1">
    <w:name w:val="Булет 1 Знак"/>
    <w:link w:val="2030"/>
    <w:rPr>
      <w:rFonts w:eastAsia="Calibri"/>
      <w:sz w:val="24"/>
      <w:szCs w:val="24"/>
      <w:lang w:eastAsia="ko-KR"/>
    </w:rPr>
  </w:style>
  <w:style w:type="paragraph" w:styleId="2032" w:customStyle="1">
    <w:name w:val="Абзац списка1"/>
    <w:basedOn w:val="1280"/>
    <w:qFormat/>
    <w:pPr>
      <w:ind w:left="708"/>
      <w:jc w:val="left"/>
    </w:pPr>
    <w:rPr>
      <w:rFonts w:eastAsia="Calibri"/>
      <w:szCs w:val="24"/>
    </w:rPr>
  </w:style>
  <w:style w:type="paragraph" w:styleId="2033" w:customStyle="1">
    <w:name w:val="_EB_Table_Num_Общ.тр.Струкутура и функц."/>
    <w:basedOn w:val="1280"/>
    <w:semiHidden/>
    <w:pPr>
      <w:numPr>
        <w:ilvl w:val="0"/>
        <w:numId w:val="87"/>
      </w:numPr>
      <w:jc w:val="left"/>
      <w:spacing w:before="60" w:after="60"/>
      <w:tabs>
        <w:tab w:val="left" w:pos="284" w:leader="none"/>
      </w:tabs>
    </w:pPr>
    <w:rPr>
      <w:rFonts w:eastAsia="Calibri"/>
      <w:szCs w:val="24"/>
    </w:rPr>
  </w:style>
  <w:style w:type="paragraph" w:styleId="2034" w:customStyle="1">
    <w:name w:val="_Table_norm"/>
    <w:pPr>
      <w:contextualSpacing/>
      <w:ind w:left="170" w:right="170"/>
      <w:jc w:val="both"/>
      <w:spacing w:before="60" w:after="60"/>
    </w:pPr>
    <w:rPr>
      <w:sz w:val="28"/>
    </w:rPr>
  </w:style>
  <w:style w:type="paragraph" w:styleId="2035" w:customStyle="1">
    <w:name w:val="_List_mark2"/>
    <w:pPr>
      <w:spacing w:line="360" w:lineRule="auto"/>
    </w:pPr>
    <w:rPr>
      <w:sz w:val="28"/>
      <w:lang w:val="en-US"/>
    </w:rPr>
  </w:style>
  <w:style w:type="character" w:styleId="2036" w:customStyle="1">
    <w:name w:val="_EB_Table_List_Mark Знак"/>
    <w:link w:val="1507"/>
    <w:semiHidden/>
    <w:rPr>
      <w:sz w:val="24"/>
    </w:rPr>
  </w:style>
  <w:style w:type="paragraph" w:styleId="2037" w:customStyle="1">
    <w:name w:val="_New_Normal"/>
    <w:link w:val="2038"/>
    <w:qFormat/>
    <w:pPr>
      <w:contextualSpacing/>
      <w:ind w:firstLine="567"/>
      <w:jc w:val="both"/>
      <w:spacing w:before="120" w:after="120" w:line="360" w:lineRule="auto"/>
    </w:pPr>
    <w:rPr>
      <w:sz w:val="28"/>
    </w:rPr>
  </w:style>
  <w:style w:type="character" w:styleId="2038" w:customStyle="1">
    <w:name w:val="_New_Normal Знак Знак"/>
    <w:link w:val="2037"/>
    <w:rPr>
      <w:sz w:val="28"/>
    </w:rPr>
  </w:style>
  <w:style w:type="paragraph" w:styleId="2039" w:customStyle="1">
    <w:name w:val="_EB_Table_Num_Требование к ПОИ. Инструментальные средства"/>
    <w:basedOn w:val="1280"/>
    <w:semiHidden/>
    <w:pPr>
      <w:numPr>
        <w:ilvl w:val="0"/>
        <w:numId w:val="88"/>
      </w:numPr>
      <w:ind w:left="360"/>
      <w:spacing w:before="60" w:after="60"/>
      <w:tabs>
        <w:tab w:val="left" w:pos="284" w:leader="none"/>
      </w:tabs>
    </w:pPr>
    <w:rPr>
      <w:rFonts w:eastAsia="Calibri"/>
      <w:szCs w:val="28"/>
    </w:rPr>
  </w:style>
  <w:style w:type="paragraph" w:styleId="2040" w:customStyle="1">
    <w:name w:val="_EB_Table_Num_Требования к ПОИ.ЛК"/>
    <w:basedOn w:val="1280"/>
    <w:semiHidden/>
    <w:pPr>
      <w:numPr>
        <w:ilvl w:val="0"/>
        <w:numId w:val="89"/>
      </w:numPr>
      <w:ind w:left="360"/>
      <w:spacing w:before="60" w:after="60"/>
      <w:tabs>
        <w:tab w:val="left" w:pos="284" w:leader="none"/>
      </w:tabs>
    </w:pPr>
    <w:rPr>
      <w:rFonts w:eastAsia="Calibri"/>
      <w:szCs w:val="28"/>
    </w:rPr>
  </w:style>
  <w:style w:type="paragraph" w:styleId="2041" w:customStyle="1">
    <w:name w:val="_EB_Table_Num_Требования к ПОИ.НСИ"/>
    <w:basedOn w:val="1280"/>
    <w:semiHidden/>
    <w:pPr>
      <w:ind w:left="360" w:hanging="360"/>
      <w:spacing w:before="60" w:after="60"/>
      <w:tabs>
        <w:tab w:val="left" w:pos="284" w:leader="none"/>
      </w:tabs>
    </w:pPr>
    <w:rPr>
      <w:rFonts w:eastAsia="Calibri"/>
      <w:szCs w:val="24"/>
    </w:rPr>
  </w:style>
  <w:style w:type="paragraph" w:styleId="2042" w:customStyle="1">
    <w:name w:val="_EB_Table_Num_Требования к ПОИ. Управление бизнес-процессами"/>
    <w:basedOn w:val="1280"/>
    <w:semiHidden/>
    <w:pPr>
      <w:numPr>
        <w:ilvl w:val="0"/>
        <w:numId w:val="90"/>
      </w:numPr>
      <w:ind w:left="360"/>
      <w:spacing w:before="60" w:after="60"/>
      <w:tabs>
        <w:tab w:val="left" w:pos="284" w:leader="none"/>
      </w:tabs>
    </w:pPr>
    <w:rPr>
      <w:rFonts w:eastAsia="Calibri"/>
      <w:szCs w:val="28"/>
    </w:rPr>
  </w:style>
  <w:style w:type="paragraph" w:styleId="2043" w:customStyle="1">
    <w:name w:val="_EB_Table_Num_Требования к ПОИ. Взаимодейств.с внеш."/>
    <w:basedOn w:val="1280"/>
    <w:semiHidden/>
    <w:pPr>
      <w:numPr>
        <w:ilvl w:val="0"/>
        <w:numId w:val="91"/>
      </w:numPr>
      <w:spacing w:before="60" w:after="60"/>
      <w:tabs>
        <w:tab w:val="left" w:pos="284" w:leader="none"/>
      </w:tabs>
    </w:pPr>
    <w:rPr>
      <w:rFonts w:eastAsia="Calibri"/>
      <w:szCs w:val="28"/>
    </w:rPr>
  </w:style>
  <w:style w:type="paragraph" w:styleId="2044" w:customStyle="1">
    <w:name w:val="_EB_Table_Num_Требования к ПО. Общие требования"/>
    <w:basedOn w:val="1280"/>
    <w:semiHidden/>
    <w:pPr>
      <w:numPr>
        <w:ilvl w:val="0"/>
        <w:numId w:val="93"/>
      </w:numPr>
      <w:ind w:left="57" w:firstLine="0"/>
      <w:spacing w:before="60" w:after="60"/>
      <w:tabs>
        <w:tab w:val="left" w:pos="284" w:leader="none"/>
      </w:tabs>
    </w:pPr>
    <w:rPr>
      <w:rFonts w:eastAsia="Calibri"/>
      <w:szCs w:val="28"/>
    </w:rPr>
  </w:style>
  <w:style w:type="paragraph" w:styleId="2045" w:customStyle="1">
    <w:name w:val="_EB_Table_Num_Требования к ПО. СУБД"/>
    <w:basedOn w:val="1280"/>
    <w:semiHidden/>
    <w:pPr>
      <w:numPr>
        <w:ilvl w:val="0"/>
        <w:numId w:val="95"/>
      </w:numPr>
      <w:ind w:left="57" w:firstLine="0"/>
      <w:spacing w:before="60" w:after="60"/>
      <w:tabs>
        <w:tab w:val="left" w:pos="284" w:leader="none"/>
      </w:tabs>
    </w:pPr>
    <w:rPr>
      <w:rFonts w:eastAsia="Calibri"/>
      <w:szCs w:val="24"/>
    </w:rPr>
  </w:style>
  <w:style w:type="paragraph" w:styleId="2046" w:customStyle="1">
    <w:name w:val="_EB_Table_Num_Требования к ПО. Сервер приложений"/>
    <w:basedOn w:val="1280"/>
    <w:semiHidden/>
    <w:pPr>
      <w:numPr>
        <w:ilvl w:val="0"/>
        <w:numId w:val="96"/>
      </w:numPr>
      <w:ind w:left="57" w:firstLine="0"/>
      <w:spacing w:before="60" w:after="60"/>
      <w:tabs>
        <w:tab w:val="left" w:pos="284" w:leader="none"/>
      </w:tabs>
    </w:pPr>
    <w:rPr>
      <w:rFonts w:eastAsia="Calibri"/>
      <w:szCs w:val="24"/>
    </w:rPr>
  </w:style>
  <w:style w:type="paragraph" w:styleId="2047" w:customStyle="1">
    <w:name w:val="_EB_Table_Num_Требвоания к ПО. Портал"/>
    <w:basedOn w:val="1280"/>
    <w:semiHidden/>
    <w:pPr>
      <w:numPr>
        <w:ilvl w:val="0"/>
        <w:numId w:val="94"/>
      </w:numPr>
      <w:ind w:left="57" w:firstLine="0"/>
      <w:jc w:val="left"/>
      <w:spacing w:before="60" w:after="60"/>
      <w:tabs>
        <w:tab w:val="left" w:pos="284" w:leader="none"/>
      </w:tabs>
    </w:pPr>
    <w:rPr>
      <w:rFonts w:eastAsia="Calibri"/>
      <w:szCs w:val="24"/>
    </w:rPr>
  </w:style>
  <w:style w:type="paragraph" w:styleId="2048" w:customStyle="1">
    <w:name w:val="_EB_Table_Num_Требования к ПО. НСИ"/>
    <w:basedOn w:val="1280"/>
    <w:semiHidden/>
    <w:pPr>
      <w:numPr>
        <w:ilvl w:val="0"/>
        <w:numId w:val="97"/>
      </w:numPr>
      <w:ind w:left="57" w:firstLine="0"/>
      <w:spacing w:before="60" w:after="60"/>
      <w:tabs>
        <w:tab w:val="left" w:pos="284" w:leader="none"/>
      </w:tabs>
    </w:pPr>
    <w:rPr>
      <w:rFonts w:eastAsia="Calibri"/>
      <w:szCs w:val="24"/>
    </w:rPr>
  </w:style>
  <w:style w:type="paragraph" w:styleId="2049" w:customStyle="1">
    <w:name w:val="_EB_Table_Num_Требования к ПО. ECMS"/>
    <w:basedOn w:val="1280"/>
    <w:semiHidden/>
    <w:pPr>
      <w:numPr>
        <w:ilvl w:val="0"/>
        <w:numId w:val="98"/>
      </w:numPr>
      <w:ind w:left="57" w:firstLine="0"/>
      <w:spacing w:before="60" w:after="60"/>
      <w:tabs>
        <w:tab w:val="left" w:pos="284" w:leader="none"/>
      </w:tabs>
    </w:pPr>
    <w:rPr>
      <w:rFonts w:eastAsia="Calibri"/>
      <w:szCs w:val="24"/>
    </w:rPr>
  </w:style>
  <w:style w:type="paragraph" w:styleId="2050" w:customStyle="1">
    <w:name w:val="_EB_Table_Num_Требования к ПО. BPMS"/>
    <w:basedOn w:val="1280"/>
    <w:semiHidden/>
    <w:pPr>
      <w:numPr>
        <w:ilvl w:val="0"/>
        <w:numId w:val="99"/>
      </w:numPr>
      <w:ind w:left="57" w:firstLine="0"/>
      <w:spacing w:before="60" w:after="60"/>
      <w:tabs>
        <w:tab w:val="left" w:pos="284" w:leader="none"/>
      </w:tabs>
    </w:pPr>
    <w:rPr>
      <w:rFonts w:eastAsia="Calibri"/>
      <w:szCs w:val="24"/>
    </w:rPr>
  </w:style>
  <w:style w:type="paragraph" w:styleId="2051" w:customStyle="1">
    <w:name w:val="_EB_Table_Num_Требования к ПО. Интеграционная шина"/>
    <w:basedOn w:val="1280"/>
    <w:semiHidden/>
    <w:pPr>
      <w:numPr>
        <w:ilvl w:val="0"/>
        <w:numId w:val="100"/>
      </w:numPr>
      <w:ind w:left="57" w:firstLine="0"/>
      <w:spacing w:before="60" w:after="60"/>
      <w:tabs>
        <w:tab w:val="left" w:pos="284" w:leader="none"/>
      </w:tabs>
    </w:pPr>
    <w:rPr>
      <w:rFonts w:eastAsia="Calibri"/>
      <w:szCs w:val="28"/>
    </w:rPr>
  </w:style>
  <w:style w:type="paragraph" w:styleId="2052" w:customStyle="1">
    <w:name w:val="_EB_Table_Num_Требования к ПО. ИБ"/>
    <w:basedOn w:val="1280"/>
    <w:semiHidden/>
    <w:pPr>
      <w:numPr>
        <w:ilvl w:val="0"/>
        <w:numId w:val="101"/>
      </w:numPr>
      <w:ind w:left="57" w:firstLine="0"/>
      <w:spacing w:before="60" w:after="60"/>
      <w:tabs>
        <w:tab w:val="left" w:pos="284" w:leader="none"/>
      </w:tabs>
    </w:pPr>
    <w:rPr>
      <w:rFonts w:eastAsia="Calibri"/>
      <w:szCs w:val="24"/>
    </w:rPr>
  </w:style>
  <w:style w:type="paragraph" w:styleId="2053" w:customStyle="1">
    <w:name w:val="_EB_Table_Num_Требования к ПО.ПОЮЗД"/>
    <w:basedOn w:val="1280"/>
    <w:semiHidden/>
    <w:pPr>
      <w:numPr>
        <w:ilvl w:val="0"/>
        <w:numId w:val="92"/>
      </w:numPr>
      <w:ind w:left="57" w:firstLine="0"/>
      <w:spacing w:before="60" w:after="60"/>
      <w:tabs>
        <w:tab w:val="left" w:pos="284" w:leader="none"/>
      </w:tabs>
    </w:pPr>
    <w:rPr>
      <w:rFonts w:eastAsia="Calibri"/>
      <w:szCs w:val="24"/>
    </w:rPr>
  </w:style>
  <w:style w:type="paragraph" w:styleId="2054" w:customStyle="1">
    <w:name w:val="ebnormal"/>
    <w:basedOn w:val="1280"/>
    <w:pPr>
      <w:ind w:left="68"/>
      <w:spacing w:before="120" w:after="60" w:line="360" w:lineRule="auto"/>
    </w:pPr>
    <w:rPr>
      <w:rFonts w:eastAsia="Calibri"/>
      <w:szCs w:val="28"/>
    </w:rPr>
  </w:style>
  <w:style w:type="paragraph" w:styleId="2055" w:customStyle="1">
    <w:name w:val="_EB_Table_Num_Требования к ПОИ. Управление формулярами"/>
    <w:basedOn w:val="1280"/>
    <w:semiHidden/>
    <w:pPr>
      <w:ind w:left="1353" w:hanging="360"/>
      <w:spacing w:before="60" w:after="60"/>
      <w:tabs>
        <w:tab w:val="left" w:pos="284" w:leader="none"/>
        <w:tab w:val="num" w:pos="1353" w:leader="none"/>
      </w:tabs>
    </w:pPr>
    <w:rPr>
      <w:rFonts w:eastAsia="Calibri"/>
      <w:szCs w:val="28"/>
    </w:rPr>
  </w:style>
  <w:style w:type="paragraph" w:styleId="2056" w:customStyle="1">
    <w:name w:val="_EB_Table_Num_Требования к ПОИ. Интеграция"/>
    <w:basedOn w:val="1280"/>
    <w:semiHidden/>
    <w:pPr>
      <w:numPr>
        <w:ilvl w:val="0"/>
        <w:numId w:val="102"/>
      </w:numPr>
      <w:ind w:left="360"/>
      <w:spacing w:before="60" w:after="60"/>
      <w:tabs>
        <w:tab w:val="left" w:pos="284" w:leader="none"/>
      </w:tabs>
    </w:pPr>
    <w:rPr>
      <w:rFonts w:eastAsia="Calibri"/>
      <w:szCs w:val="28"/>
    </w:rPr>
  </w:style>
  <w:style w:type="paragraph" w:styleId="2057" w:customStyle="1">
    <w:name w:val="Normal1"/>
    <w:pPr>
      <w:jc w:val="both"/>
      <w:spacing w:line="360" w:lineRule="auto"/>
      <w:widowControl w:val="off"/>
    </w:pPr>
    <w:rPr>
      <w:sz w:val="28"/>
    </w:rPr>
  </w:style>
  <w:style w:type="paragraph" w:styleId="2058" w:customStyle="1">
    <w:name w:val="Default"/>
    <w:rPr>
      <w:color w:val="000000"/>
      <w:sz w:val="24"/>
      <w:szCs w:val="24"/>
    </w:rPr>
  </w:style>
  <w:style w:type="character" w:styleId="2059" w:customStyle="1">
    <w:name w:val="ipa"/>
    <w:basedOn w:val="1290"/>
  </w:style>
  <w:style w:type="character" w:styleId="2060" w:customStyle="1">
    <w:name w:val="w"/>
    <w:basedOn w:val="1290"/>
  </w:style>
  <w:style w:type="character" w:styleId="2061" w:customStyle="1">
    <w:name w:val="None"/>
    <w:rPr>
      <w:lang w:val="ru-RU"/>
    </w:rPr>
  </w:style>
  <w:style w:type="paragraph" w:styleId="2062" w:customStyle="1">
    <w:name w:val="msonormal"/>
    <w:basedOn w:val="1280"/>
    <w:pPr>
      <w:spacing w:after="120"/>
    </w:pPr>
    <w:rPr>
      <w:rFonts w:eastAsia="Calibri"/>
      <w:szCs w:val="28"/>
      <w:lang w:eastAsia="ko-KR"/>
    </w:rPr>
  </w:style>
  <w:style w:type="paragraph" w:styleId="2063" w:customStyle="1">
    <w:name w:val="caption-table1"/>
    <w:basedOn w:val="1280"/>
    <w:pPr>
      <w:ind w:firstLine="709"/>
      <w:jc w:val="left"/>
      <w:keepNext/>
      <w:spacing w:before="240" w:line="360" w:lineRule="auto"/>
    </w:pPr>
    <w:rPr>
      <w:rFonts w:eastAsia="Calibri"/>
      <w:b/>
      <w:bCs/>
      <w:szCs w:val="28"/>
      <w:lang w:eastAsia="ko-KR"/>
    </w:rPr>
  </w:style>
  <w:style w:type="character" w:styleId="2064" w:customStyle="1">
    <w:name w:val="html-tag"/>
    <w:basedOn w:val="1290"/>
  </w:style>
  <w:style w:type="character" w:styleId="2065" w:customStyle="1">
    <w:name w:val="html-attribute"/>
    <w:basedOn w:val="1290"/>
  </w:style>
  <w:style w:type="character" w:styleId="2066" w:customStyle="1">
    <w:name w:val="html-attribute-name"/>
    <w:basedOn w:val="1290"/>
  </w:style>
  <w:style w:type="character" w:styleId="2067" w:customStyle="1">
    <w:name w:val="html-attribute-value"/>
    <w:basedOn w:val="1290"/>
  </w:style>
  <w:style w:type="character" w:styleId="2068" w:customStyle="1">
    <w:name w:val="button"/>
    <w:basedOn w:val="1290"/>
  </w:style>
  <w:style w:type="character" w:styleId="2069" w:customStyle="1">
    <w:name w:val="comment"/>
    <w:basedOn w:val="1290"/>
  </w:style>
  <w:style w:type="paragraph" w:styleId="2070" w:customStyle="1">
    <w:name w:val="заголовок 2"/>
    <w:basedOn w:val="1280"/>
    <w:next w:val="1280"/>
    <w:uiPriority w:val="99"/>
    <w:pPr>
      <w:jc w:val="left"/>
      <w:keepNext/>
    </w:pPr>
    <w:rPr>
      <w:rFonts w:eastAsia="Calibri"/>
      <w:b/>
      <w:lang w:eastAsia="ko-KR"/>
    </w:rPr>
  </w:style>
  <w:style w:type="paragraph" w:styleId="2071" w:customStyle="1">
    <w:name w:val="Упорядоченное перечисление"/>
    <w:basedOn w:val="1280"/>
    <w:link w:val="2072"/>
    <w:pPr>
      <w:numPr>
        <w:ilvl w:val="0"/>
        <w:numId w:val="103"/>
      </w:numPr>
      <w:jc w:val="left"/>
      <w:spacing w:line="360" w:lineRule="auto"/>
    </w:pPr>
    <w:rPr>
      <w:rFonts w:eastAsia="Calibri"/>
      <w:szCs w:val="28"/>
      <w:lang w:eastAsia="en-US"/>
    </w:rPr>
  </w:style>
  <w:style w:type="character" w:styleId="2072" w:customStyle="1">
    <w:name w:val="Упорядоченное перечисление Знак"/>
    <w:link w:val="2071"/>
    <w:rPr>
      <w:rFonts w:eastAsia="Calibri"/>
      <w:sz w:val="24"/>
      <w:szCs w:val="28"/>
      <w:lang w:eastAsia="en-US"/>
    </w:rPr>
  </w:style>
  <w:style w:type="paragraph" w:styleId="2073" w:customStyle="1">
    <w:name w:val="Текст таблицы по центру"/>
    <w:basedOn w:val="1280"/>
    <w:pPr>
      <w:jc w:val="center"/>
    </w:pPr>
    <w:rPr>
      <w:rFonts w:eastAsia="Calibri"/>
      <w:lang w:eastAsia="en-US"/>
    </w:rPr>
  </w:style>
  <w:style w:type="paragraph" w:styleId="2074" w:customStyle="1">
    <w:name w:val="Текст таблицы - заголовок"/>
    <w:basedOn w:val="2073"/>
    <w:rPr>
      <w:b/>
      <w:bCs/>
    </w:rPr>
  </w:style>
  <w:style w:type="paragraph" w:styleId="2075" w:customStyle="1">
    <w:name w:val="Текст таблицы слева"/>
    <w:basedOn w:val="1280"/>
    <w:pPr>
      <w:jc w:val="left"/>
    </w:pPr>
    <w:rPr>
      <w:rFonts w:eastAsia="Calibri"/>
      <w:lang w:eastAsia="ko-KR"/>
    </w:rPr>
  </w:style>
  <w:style w:type="paragraph" w:styleId="2076" w:customStyle="1">
    <w:name w:val="Текст таблицы справа"/>
    <w:basedOn w:val="2073"/>
    <w:pPr>
      <w:jc w:val="right"/>
    </w:pPr>
  </w:style>
  <w:style w:type="character" w:styleId="2077" w:customStyle="1">
    <w:name w:val="_New_Normal Знак"/>
    <w:rPr>
      <w:i/>
      <w:sz w:val="32"/>
      <w:szCs w:val="32"/>
    </w:rPr>
  </w:style>
  <w:style w:type="paragraph" w:styleId="2078" w:customStyle="1">
    <w:name w:val="bodytext"/>
    <w:basedOn w:val="1280"/>
    <w:pPr>
      <w:jc w:val="left"/>
      <w:spacing w:before="100" w:beforeAutospacing="1" w:after="100" w:afterAutospacing="1"/>
    </w:pPr>
    <w:rPr>
      <w:rFonts w:eastAsia="Calibri"/>
      <w:szCs w:val="28"/>
      <w:lang w:eastAsia="ko-KR"/>
    </w:rPr>
  </w:style>
  <w:style w:type="paragraph" w:styleId="2079" w:customStyle="1">
    <w:name w:val="Титул_утв."/>
    <w:basedOn w:val="1280"/>
    <w:qFormat/>
    <w:pPr>
      <w:jc w:val="left"/>
    </w:pPr>
    <w:rPr>
      <w:rFonts w:eastAsia="Calibri"/>
      <w:lang w:eastAsia="en-US"/>
    </w:rPr>
  </w:style>
  <w:style w:type="paragraph" w:styleId="2080" w:customStyle="1">
    <w:name w:val="Титул_подп."/>
    <w:basedOn w:val="2079"/>
    <w:qFormat/>
    <w:pPr>
      <w:spacing w:line="360" w:lineRule="auto"/>
    </w:pPr>
  </w:style>
  <w:style w:type="paragraph" w:styleId="2081" w:customStyle="1">
    <w:name w:val="Титул_назв."/>
    <w:basedOn w:val="1280"/>
    <w:qFormat/>
    <w:pPr>
      <w:jc w:val="center"/>
      <w:spacing w:before="120"/>
    </w:pPr>
    <w:rPr>
      <w:rFonts w:eastAsia="Calibri"/>
      <w:b/>
      <w:bCs/>
      <w:sz w:val="32"/>
      <w:szCs w:val="32"/>
      <w:u w:val="single"/>
      <w:lang w:eastAsia="en-US"/>
    </w:rPr>
  </w:style>
  <w:style w:type="paragraph" w:styleId="2082" w:customStyle="1">
    <w:name w:val="Титул_контр."/>
    <w:basedOn w:val="1280"/>
    <w:qFormat/>
    <w:pPr>
      <w:jc w:val="center"/>
      <w:spacing w:before="120"/>
      <w:tabs>
        <w:tab w:val="left" w:pos="1800" w:leader="none"/>
      </w:tabs>
    </w:pPr>
    <w:rPr>
      <w:rFonts w:eastAsia="Calibri" w:cs="Arial"/>
      <w:b/>
      <w:bCs/>
      <w:sz w:val="32"/>
      <w:szCs w:val="32"/>
      <w:lang w:eastAsia="en-US"/>
    </w:rPr>
  </w:style>
  <w:style w:type="paragraph" w:styleId="2083" w:customStyle="1">
    <w:name w:val="Титул_работы"/>
    <w:basedOn w:val="1280"/>
    <w:qFormat/>
    <w:pPr>
      <w:jc w:val="center"/>
      <w:keepLines/>
      <w:keepNext/>
      <w:spacing w:line="360" w:lineRule="atLeast"/>
      <w:widowControl w:val="off"/>
      <w:suppressLineNumbers/>
    </w:pPr>
    <w:rPr>
      <w:rFonts w:eastAsia="Calibri"/>
      <w:b/>
      <w:szCs w:val="28"/>
      <w:lang w:eastAsia="en-US"/>
    </w:rPr>
  </w:style>
  <w:style w:type="paragraph" w:styleId="2084" w:customStyle="1">
    <w:name w:val="Титул_город"/>
    <w:basedOn w:val="1280"/>
    <w:qFormat/>
    <w:pPr>
      <w:jc w:val="center"/>
    </w:pPr>
    <w:rPr>
      <w:rFonts w:eastAsia="Calibri"/>
      <w:szCs w:val="28"/>
      <w:lang w:eastAsia="en-US"/>
    </w:rPr>
  </w:style>
  <w:style w:type="paragraph" w:styleId="2085" w:customStyle="1">
    <w:name w:val="TableGraf 10L"/>
    <w:basedOn w:val="1280"/>
    <w:pPr>
      <w:jc w:val="left"/>
      <w:spacing w:before="40" w:after="40"/>
    </w:pPr>
    <w:rPr>
      <w:rFonts w:eastAsia="Calibri"/>
      <w:sz w:val="20"/>
      <w:lang w:eastAsia="en-US"/>
    </w:rPr>
  </w:style>
  <w:style w:type="paragraph" w:styleId="2086" w:customStyle="1">
    <w:name w:val="ph_base"/>
    <w:pPr>
      <w:jc w:val="both"/>
      <w:spacing w:line="360" w:lineRule="auto"/>
    </w:pPr>
    <w:rPr>
      <w:rFonts w:ascii="Arial" w:hAnsi="Arial"/>
      <w:sz w:val="24"/>
    </w:rPr>
  </w:style>
  <w:style w:type="paragraph" w:styleId="2087" w:customStyle="1">
    <w:name w:val="ph_addition_title_1"/>
    <w:basedOn w:val="2086"/>
    <w:next w:val="2127"/>
    <w:pPr>
      <w:jc w:val="center"/>
      <w:keepLines/>
      <w:keepNext/>
      <w:pageBreakBefore/>
      <w:spacing w:before="360" w:after="360"/>
      <w:tabs>
        <w:tab w:val="num" w:pos="0" w:leader="none"/>
      </w:tabs>
      <w:outlineLvl w:val="0"/>
    </w:pPr>
    <w:rPr>
      <w:b/>
      <w:sz w:val="28"/>
      <w:szCs w:val="28"/>
    </w:rPr>
  </w:style>
  <w:style w:type="paragraph" w:styleId="2088" w:customStyle="1">
    <w:name w:val="ph_addition_title_2"/>
    <w:basedOn w:val="2086"/>
    <w:next w:val="2127"/>
    <w:pPr>
      <w:ind w:left="720"/>
      <w:keepLines/>
      <w:keepNext/>
      <w:spacing w:before="360" w:after="360"/>
      <w:tabs>
        <w:tab w:val="num" w:pos="720" w:leader="none"/>
      </w:tabs>
      <w:outlineLvl w:val="1"/>
    </w:pPr>
    <w:rPr>
      <w:b/>
      <w:szCs w:val="24"/>
    </w:rPr>
  </w:style>
  <w:style w:type="paragraph" w:styleId="2089" w:customStyle="1">
    <w:name w:val="ph_addition_title_3"/>
    <w:basedOn w:val="2086"/>
    <w:next w:val="2127"/>
    <w:pPr>
      <w:ind w:left="720"/>
      <w:keepLines/>
      <w:keepNext/>
      <w:spacing w:before="240" w:after="240"/>
      <w:tabs>
        <w:tab w:val="num" w:pos="720" w:leader="none"/>
      </w:tabs>
      <w:outlineLvl w:val="2"/>
    </w:pPr>
    <w:rPr>
      <w:b/>
      <w:sz w:val="22"/>
      <w:szCs w:val="22"/>
    </w:rPr>
  </w:style>
  <w:style w:type="paragraph" w:styleId="2090" w:customStyle="1">
    <w:name w:val="ph_bibliography"/>
    <w:basedOn w:val="2086"/>
    <w:pPr>
      <w:numPr>
        <w:ilvl w:val="0"/>
        <w:numId w:val="104"/>
      </w:numPr>
      <w:spacing w:before="60" w:after="60" w:line="240" w:lineRule="auto"/>
    </w:pPr>
    <w:rPr>
      <w:rFonts w:cs="Arial"/>
      <w:bCs/>
      <w:szCs w:val="28"/>
    </w:rPr>
  </w:style>
  <w:style w:type="paragraph" w:styleId="2091" w:customStyle="1">
    <w:name w:val="ph_colontituldown"/>
    <w:basedOn w:val="2086"/>
    <w:pPr>
      <w:jc w:val="center"/>
      <w:spacing w:before="20" w:after="120"/>
      <w:tabs>
        <w:tab w:val="right" w:pos="9497" w:leader="none"/>
        <w:tab w:val="right" w:pos="14459" w:leader="none"/>
      </w:tabs>
      <w:pBdr>
        <w:top w:val="single" w:color="000000" w:sz="4" w:space="1"/>
      </w:pBdr>
    </w:pPr>
    <w:rPr>
      <w:sz w:val="20"/>
    </w:rPr>
  </w:style>
  <w:style w:type="paragraph" w:styleId="2092" w:customStyle="1">
    <w:name w:val="ph_colontitulup"/>
    <w:basedOn w:val="2086"/>
    <w:pPr>
      <w:jc w:val="center"/>
      <w:spacing w:before="20" w:after="120"/>
      <w:tabs>
        <w:tab w:val="right" w:pos="14600" w:leader="none"/>
      </w:tabs>
      <w:pBdr>
        <w:bottom w:val="single" w:color="000000" w:sz="4" w:space="1"/>
      </w:pBdr>
    </w:pPr>
    <w:rPr>
      <w:sz w:val="20"/>
    </w:rPr>
  </w:style>
  <w:style w:type="paragraph" w:styleId="2093" w:customStyle="1">
    <w:name w:val="ph_comment"/>
    <w:basedOn w:val="2086"/>
    <w:pPr>
      <w:ind w:firstLine="720"/>
    </w:pPr>
    <w:rPr>
      <w:rFonts w:ascii="Arial Narrow" w:hAnsi="Arial Narrow"/>
      <w:vanish/>
      <w:color w:val="0000ff"/>
    </w:rPr>
  </w:style>
  <w:style w:type="paragraph" w:styleId="2094" w:customStyle="1">
    <w:name w:val="ph_confirmlist"/>
    <w:basedOn w:val="2086"/>
    <w:pPr>
      <w:jc w:val="center"/>
      <w:spacing w:before="20" w:after="120"/>
    </w:pPr>
    <w:rPr>
      <w:b/>
      <w:caps/>
      <w:sz w:val="28"/>
      <w:szCs w:val="28"/>
    </w:rPr>
  </w:style>
  <w:style w:type="paragraph" w:styleId="2095" w:customStyle="1">
    <w:name w:val="ph_confirmstamp"/>
    <w:basedOn w:val="2086"/>
    <w:pPr>
      <w:jc w:val="left"/>
      <w:spacing w:before="20" w:after="120" w:line="240" w:lineRule="auto"/>
    </w:pPr>
  </w:style>
  <w:style w:type="paragraph" w:styleId="2096" w:customStyle="1">
    <w:name w:val="ph_confirmstamp_stamp"/>
    <w:basedOn w:val="2095"/>
  </w:style>
  <w:style w:type="paragraph" w:styleId="2097" w:customStyle="1">
    <w:name w:val="ph_confirmstamp_title"/>
    <w:basedOn w:val="2095"/>
    <w:next w:val="2096"/>
    <w:rPr>
      <w:caps/>
      <w:szCs w:val="24"/>
    </w:rPr>
  </w:style>
  <w:style w:type="paragraph" w:styleId="2098" w:customStyle="1">
    <w:name w:val="ph_content"/>
    <w:basedOn w:val="2086"/>
    <w:next w:val="1332"/>
    <w:pPr>
      <w:jc w:val="center"/>
      <w:keepLines/>
      <w:keepNext/>
      <w:pageBreakBefore/>
      <w:spacing w:before="360" w:after="360"/>
      <w:tabs>
        <w:tab w:val="left" w:pos="1134" w:leader="none"/>
        <w:tab w:val="left" w:pos="1440" w:leader="none"/>
        <w:tab w:val="left" w:pos="1797" w:leader="none"/>
      </w:tabs>
    </w:pPr>
    <w:rPr>
      <w:rFonts w:cs="Arial"/>
      <w:b/>
      <w:bCs/>
      <w:sz w:val="28"/>
      <w:szCs w:val="28"/>
    </w:rPr>
  </w:style>
  <w:style w:type="paragraph" w:styleId="2099" w:customStyle="1">
    <w:name w:val="ph_example"/>
    <w:basedOn w:val="2086"/>
    <w:pPr>
      <w:spacing w:before="20" w:after="120"/>
    </w:pPr>
    <w:rPr>
      <w:b/>
      <w:i/>
      <w:sz w:val="20"/>
    </w:rPr>
  </w:style>
  <w:style w:type="paragraph" w:styleId="2100" w:customStyle="1">
    <w:name w:val="ph_figure"/>
    <w:basedOn w:val="2086"/>
    <w:pPr>
      <w:jc w:val="center"/>
      <w:spacing w:before="20" w:after="120"/>
    </w:pPr>
  </w:style>
  <w:style w:type="paragraph" w:styleId="2101" w:customStyle="1">
    <w:name w:val="ph_figure_graphic"/>
    <w:basedOn w:val="2100"/>
    <w:next w:val="2102"/>
    <w:pPr>
      <w:keepNext/>
      <w:spacing w:before="120"/>
    </w:pPr>
  </w:style>
  <w:style w:type="paragraph" w:styleId="2102" w:customStyle="1">
    <w:name w:val="ph_figure_title"/>
    <w:basedOn w:val="2100"/>
    <w:next w:val="2127"/>
    <w:pPr>
      <w:keepLines/>
      <w:spacing w:before="120"/>
    </w:pPr>
    <w:rPr>
      <w:rFonts w:cs="Arial"/>
    </w:rPr>
  </w:style>
  <w:style w:type="paragraph" w:styleId="2103" w:customStyle="1">
    <w:name w:val="ph_footnote"/>
    <w:basedOn w:val="2086"/>
    <w:pPr>
      <w:widowControl w:val="off"/>
    </w:pPr>
    <w:rPr>
      <w:sz w:val="18"/>
    </w:rPr>
  </w:style>
  <w:style w:type="character" w:styleId="2104" w:customStyle="1">
    <w:name w:val="ph_inline"/>
    <w:basedOn w:val="1290"/>
  </w:style>
  <w:style w:type="character" w:styleId="2105" w:customStyle="1">
    <w:name w:val="ph_inline_8"/>
    <w:rPr>
      <w:sz w:val="16"/>
    </w:rPr>
  </w:style>
  <w:style w:type="character" w:styleId="2106" w:customStyle="1">
    <w:name w:val="ph_inline_bolditalic"/>
    <w:rPr>
      <w:rFonts w:ascii="Arial" w:hAnsi="Arial"/>
      <w:b/>
      <w:bCs/>
      <w:i/>
      <w:lang w:val="ru-RU" w:eastAsia="ru-RU" w:bidi="ar-SA"/>
    </w:rPr>
  </w:style>
  <w:style w:type="character" w:styleId="2107" w:customStyle="1">
    <w:name w:val="ph_inline_computer"/>
    <w:rPr>
      <w:rFonts w:ascii="Courier New" w:hAnsi="Courier New"/>
      <w:sz w:val="24"/>
    </w:rPr>
  </w:style>
  <w:style w:type="character" w:styleId="2108" w:customStyle="1">
    <w:name w:val="ph_inline_firstterm"/>
    <w:rPr>
      <w:i/>
      <w:sz w:val="24"/>
    </w:rPr>
  </w:style>
  <w:style w:type="character" w:styleId="2109" w:customStyle="1">
    <w:name w:val="ph_inline_guiitem"/>
    <w:rPr>
      <w:rFonts w:ascii="Arial" w:hAnsi="Arial"/>
      <w:b/>
      <w:bCs/>
      <w:lang w:val="ru-RU" w:eastAsia="ru-RU" w:bidi="ar-SA"/>
    </w:rPr>
  </w:style>
  <w:style w:type="character" w:styleId="2110" w:customStyle="1">
    <w:name w:val="ph_inline_keycap"/>
    <w:rPr>
      <w:b/>
      <w:smallCaps/>
      <w:sz w:val="24"/>
    </w:rPr>
  </w:style>
  <w:style w:type="character" w:styleId="2111" w:customStyle="1">
    <w:name w:val="ph_inline_space"/>
    <w:rPr>
      <w:spacing w:val="60"/>
    </w:rPr>
  </w:style>
  <w:style w:type="character" w:styleId="2112" w:customStyle="1">
    <w:name w:val="ph_inline_superline"/>
    <w:rPr>
      <w:vertAlign w:val="superscript"/>
    </w:rPr>
  </w:style>
  <w:style w:type="character" w:styleId="2113" w:customStyle="1">
    <w:name w:val="ph_inline_underline"/>
    <w:rPr>
      <w:u w:val="single"/>
      <w:lang w:val="ru-RU"/>
    </w:rPr>
  </w:style>
  <w:style w:type="character" w:styleId="2114" w:customStyle="1">
    <w:name w:val="ph_inline_underlineitalic"/>
    <w:rPr>
      <w:i/>
      <w:u w:val="single"/>
      <w:lang w:val="ru-RU"/>
    </w:rPr>
  </w:style>
  <w:style w:type="character" w:styleId="2115" w:customStyle="1">
    <w:name w:val="ph_inline_uppercase"/>
    <w:rPr>
      <w:caps/>
      <w:lang w:val="ru-RU"/>
    </w:rPr>
  </w:style>
  <w:style w:type="paragraph" w:styleId="2116" w:customStyle="1">
    <w:name w:val="ph_inset"/>
    <w:basedOn w:val="2127"/>
    <w:next w:val="2127"/>
  </w:style>
  <w:style w:type="paragraph" w:styleId="2117" w:customStyle="1">
    <w:name w:val="ph_inset_caution"/>
    <w:basedOn w:val="2116"/>
    <w:pPr>
      <w:keepLines/>
    </w:pPr>
  </w:style>
  <w:style w:type="paragraph" w:styleId="2118" w:customStyle="1">
    <w:name w:val="ph_inset_note"/>
    <w:basedOn w:val="2116"/>
    <w:pPr>
      <w:keepLines/>
    </w:pPr>
  </w:style>
  <w:style w:type="paragraph" w:styleId="2119" w:customStyle="1">
    <w:name w:val="ph_inset_title"/>
    <w:basedOn w:val="2116"/>
    <w:next w:val="2118"/>
    <w:pPr>
      <w:keepNext/>
    </w:pPr>
    <w:rPr>
      <w:caps/>
      <w:szCs w:val="24"/>
    </w:rPr>
  </w:style>
  <w:style w:type="paragraph" w:styleId="2120" w:customStyle="1">
    <w:name w:val="ph_inset_warning"/>
    <w:basedOn w:val="2116"/>
    <w:pPr>
      <w:keepLines/>
    </w:pPr>
  </w:style>
  <w:style w:type="paragraph" w:styleId="2121" w:customStyle="1">
    <w:name w:val="ph_list_itemized_1"/>
    <w:basedOn w:val="2127"/>
    <w:link w:val="2184"/>
    <w:pPr>
      <w:numPr>
        <w:ilvl w:val="0"/>
        <w:numId w:val="105"/>
      </w:numPr>
      <w:ind w:left="643" w:hanging="360"/>
      <w:tabs>
        <w:tab w:val="num" w:pos="360" w:leader="none"/>
        <w:tab w:val="num" w:pos="643" w:leader="none"/>
        <w:tab w:val="clear" w:pos="1077" w:leader="none"/>
      </w:tabs>
    </w:pPr>
    <w:rPr>
      <w:rFonts w:cs="Arial"/>
      <w:lang w:eastAsia="en-US"/>
    </w:rPr>
  </w:style>
  <w:style w:type="paragraph" w:styleId="2122" w:customStyle="1">
    <w:name w:val="ph_list_itemized_2"/>
    <w:basedOn w:val="2127"/>
    <w:pPr>
      <w:numPr>
        <w:ilvl w:val="0"/>
        <w:numId w:val="106"/>
      </w:numPr>
      <w:ind w:left="0" w:firstLine="567"/>
      <w:tabs>
        <w:tab w:val="num" w:pos="360" w:leader="none"/>
        <w:tab w:val="num" w:pos="567" w:leader="none"/>
        <w:tab w:val="clear" w:pos="1755" w:leader="none"/>
      </w:tabs>
    </w:pPr>
  </w:style>
  <w:style w:type="paragraph" w:styleId="2123" w:customStyle="1">
    <w:name w:val="ph_list_itemized_title"/>
    <w:basedOn w:val="2127"/>
    <w:next w:val="2121"/>
    <w:pPr>
      <w:keepNext/>
    </w:pPr>
  </w:style>
  <w:style w:type="paragraph" w:styleId="2124" w:customStyle="1">
    <w:name w:val="ph_list_ordered_1"/>
    <w:basedOn w:val="2127"/>
    <w:pPr>
      <w:numPr>
        <w:ilvl w:val="0"/>
        <w:numId w:val="107"/>
      </w:numPr>
      <w:ind w:left="1077" w:hanging="357"/>
      <w:tabs>
        <w:tab w:val="num" w:pos="360" w:leader="none"/>
        <w:tab w:val="clear" w:pos="720" w:leader="none"/>
        <w:tab w:val="num" w:pos="851" w:leader="none"/>
        <w:tab w:val="num" w:pos="1134" w:leader="none"/>
      </w:tabs>
    </w:pPr>
  </w:style>
  <w:style w:type="paragraph" w:styleId="2125" w:customStyle="1">
    <w:name w:val="ph_list_ordered_2"/>
    <w:basedOn w:val="2127"/>
    <w:pPr>
      <w:numPr>
        <w:ilvl w:val="0"/>
        <w:numId w:val="108"/>
      </w:numPr>
      <w:ind w:left="1752" w:hanging="357"/>
      <w:tabs>
        <w:tab w:val="num" w:pos="0" w:leader="none"/>
        <w:tab w:val="num" w:pos="360" w:leader="none"/>
        <w:tab w:val="num" w:pos="1134" w:leader="none"/>
        <w:tab w:val="clear" w:pos="1757" w:leader="none"/>
      </w:tabs>
    </w:pPr>
  </w:style>
  <w:style w:type="paragraph" w:styleId="2126" w:customStyle="1">
    <w:name w:val="ph_list_ordered_title"/>
    <w:basedOn w:val="2127"/>
    <w:next w:val="2124"/>
    <w:pPr>
      <w:keepNext/>
    </w:pPr>
  </w:style>
  <w:style w:type="paragraph" w:styleId="2127" w:customStyle="1">
    <w:name w:val="ph_normal"/>
    <w:basedOn w:val="2086"/>
    <w:link w:val="2205"/>
    <w:pPr>
      <w:ind w:right="170" w:firstLine="720"/>
    </w:pPr>
  </w:style>
  <w:style w:type="paragraph" w:styleId="2128" w:customStyle="1">
    <w:name w:val="ph_stamp"/>
    <w:basedOn w:val="2086"/>
    <w:pPr>
      <w:spacing w:before="20" w:after="20"/>
    </w:pPr>
    <w:rPr>
      <w:sz w:val="16"/>
    </w:rPr>
  </w:style>
  <w:style w:type="paragraph" w:styleId="2129" w:customStyle="1">
    <w:name w:val="ph_stamp_center"/>
    <w:basedOn w:val="2128"/>
    <w:pPr>
      <w:jc w:val="center"/>
      <w:spacing w:before="0" w:after="0"/>
      <w:tabs>
        <w:tab w:val="left" w:pos="284" w:leader="none"/>
      </w:tabs>
    </w:pPr>
    <w:rPr>
      <w:sz w:val="18"/>
      <w:szCs w:val="18"/>
    </w:rPr>
  </w:style>
  <w:style w:type="paragraph" w:styleId="2130" w:customStyle="1">
    <w:name w:val="ph_stamp_center_italic"/>
    <w:basedOn w:val="2128"/>
    <w:pPr>
      <w:jc w:val="center"/>
    </w:pPr>
    <w:rPr>
      <w:bCs/>
      <w:i/>
    </w:rPr>
  </w:style>
  <w:style w:type="paragraph" w:styleId="2131" w:customStyle="1">
    <w:name w:val="ph_stamp_italic"/>
    <w:basedOn w:val="2128"/>
    <w:pPr>
      <w:ind w:left="57"/>
    </w:pPr>
    <w:rPr>
      <w:i/>
    </w:rPr>
  </w:style>
  <w:style w:type="paragraph" w:styleId="2132" w:customStyle="1">
    <w:name w:val="ph_table_cell"/>
    <w:basedOn w:val="2086"/>
    <w:pPr>
      <w:spacing w:before="20" w:line="240" w:lineRule="auto"/>
    </w:pPr>
    <w:rPr>
      <w:rFonts w:cs="Arial"/>
      <w:bCs/>
      <w:sz w:val="20"/>
    </w:rPr>
  </w:style>
  <w:style w:type="paragraph" w:styleId="2133" w:customStyle="1">
    <w:name w:val="ph_table_cellcenter"/>
    <w:basedOn w:val="2132"/>
    <w:pPr>
      <w:jc w:val="center"/>
    </w:pPr>
  </w:style>
  <w:style w:type="paragraph" w:styleId="2134" w:customStyle="1">
    <w:name w:val="ph_table_cellleft"/>
    <w:basedOn w:val="2132"/>
    <w:pPr>
      <w:jc w:val="left"/>
    </w:pPr>
  </w:style>
  <w:style w:type="paragraph" w:styleId="2135" w:customStyle="1">
    <w:name w:val="ph_table_colcaption"/>
    <w:basedOn w:val="2132"/>
    <w:next w:val="2132"/>
    <w:pPr>
      <w:jc w:val="center"/>
      <w:keepLines/>
      <w:keepNext/>
      <w:spacing w:before="120" w:after="120"/>
    </w:pPr>
    <w:rPr>
      <w:b/>
    </w:rPr>
  </w:style>
  <w:style w:type="paragraph" w:styleId="2136" w:customStyle="1">
    <w:name w:val="ph_table_title"/>
    <w:basedOn w:val="2086"/>
    <w:next w:val="2135"/>
    <w:pPr>
      <w:keepNext/>
      <w:spacing w:before="20" w:after="120"/>
    </w:pPr>
    <w:rPr>
      <w:szCs w:val="24"/>
    </w:rPr>
  </w:style>
  <w:style w:type="paragraph" w:styleId="2137" w:customStyle="1">
    <w:name w:val="ph_title_void"/>
    <w:basedOn w:val="2086"/>
    <w:next w:val="2127"/>
    <w:pPr>
      <w:jc w:val="center"/>
      <w:keepLines/>
      <w:keepNext/>
      <w:pageBreakBefore/>
      <w:spacing w:before="360" w:after="360"/>
    </w:pPr>
    <w:rPr>
      <w:rFonts w:cs="Arial"/>
      <w:b/>
      <w:bCs/>
      <w:sz w:val="28"/>
      <w:szCs w:val="28"/>
    </w:rPr>
  </w:style>
  <w:style w:type="paragraph" w:styleId="2138" w:customStyle="1">
    <w:name w:val="ph_titlepage"/>
    <w:basedOn w:val="2086"/>
    <w:pPr>
      <w:jc w:val="center"/>
      <w:spacing w:after="120"/>
    </w:pPr>
    <w:rPr>
      <w:rFonts w:cs="Arial"/>
      <w:szCs w:val="28"/>
      <w:lang w:eastAsia="en-US"/>
    </w:rPr>
  </w:style>
  <w:style w:type="paragraph" w:styleId="2139" w:customStyle="1">
    <w:name w:val="ph_titlepage_code"/>
    <w:basedOn w:val="2138"/>
    <w:pPr>
      <w:spacing w:after="240"/>
    </w:pPr>
    <w:rPr>
      <w:b/>
      <w:sz w:val="26"/>
    </w:rPr>
  </w:style>
  <w:style w:type="paragraph" w:styleId="2140" w:customStyle="1">
    <w:name w:val="ph_titlepage_confirmstamp"/>
    <w:basedOn w:val="2086"/>
    <w:pPr>
      <w:spacing w:before="60" w:after="60"/>
    </w:pPr>
    <w:rPr>
      <w:color w:val="000000"/>
      <w:szCs w:val="24"/>
    </w:rPr>
  </w:style>
  <w:style w:type="paragraph" w:styleId="2141" w:customStyle="1">
    <w:name w:val="ph_titlepage_customer"/>
    <w:basedOn w:val="2138"/>
    <w:next w:val="2140"/>
    <w:pPr>
      <w:spacing w:before="240"/>
    </w:pPr>
    <w:rPr>
      <w:b/>
      <w:sz w:val="26"/>
    </w:rPr>
  </w:style>
  <w:style w:type="paragraph" w:styleId="2142" w:customStyle="1">
    <w:name w:val="ph_titlepage_docpart"/>
    <w:basedOn w:val="2138"/>
    <w:next w:val="2139"/>
    <w:rPr>
      <w:b/>
    </w:rPr>
  </w:style>
  <w:style w:type="paragraph" w:styleId="2143" w:customStyle="1">
    <w:name w:val="ph_titlepage_document"/>
    <w:basedOn w:val="2138"/>
    <w:pPr>
      <w:spacing w:before="240"/>
    </w:pPr>
    <w:rPr>
      <w:b/>
      <w:sz w:val="26"/>
    </w:rPr>
  </w:style>
  <w:style w:type="paragraph" w:styleId="2144" w:customStyle="1">
    <w:name w:val="ph_titlepage_other"/>
    <w:basedOn w:val="2138"/>
  </w:style>
  <w:style w:type="paragraph" w:styleId="2145" w:customStyle="1">
    <w:name w:val="ph_titlepage_system_full"/>
    <w:basedOn w:val="2138"/>
    <w:next w:val="2146"/>
    <w:rPr>
      <w:b/>
      <w:bCs/>
      <w:sz w:val="32"/>
      <w:szCs w:val="32"/>
    </w:rPr>
  </w:style>
  <w:style w:type="paragraph" w:styleId="2146" w:customStyle="1">
    <w:name w:val="ph_titlepage_system_short"/>
    <w:basedOn w:val="2138"/>
    <w:next w:val="2144"/>
    <w:rPr>
      <w:b/>
      <w:sz w:val="32"/>
    </w:rPr>
  </w:style>
  <w:style w:type="paragraph" w:styleId="2147" w:customStyle="1">
    <w:name w:val="ph_header_1_without_num"/>
    <w:basedOn w:val="1281"/>
    <w:next w:val="2127"/>
    <w:pPr>
      <w:numPr>
        <w:ilvl w:val="0"/>
        <w:numId w:val="0"/>
      </w:numPr>
      <w:contextualSpacing w:val="0"/>
      <w:ind w:left="720"/>
      <w:jc w:val="left"/>
      <w:pageBreakBefore w:val="0"/>
      <w:spacing w:before="360" w:line="360" w:lineRule="auto"/>
      <w:tabs>
        <w:tab w:val="left" w:pos="0" w:leader="none"/>
        <w:tab w:val="left" w:pos="709" w:leader="none"/>
        <w:tab w:val="left" w:pos="851" w:leader="none"/>
      </w:tabs>
    </w:pPr>
    <w:rPr>
      <w:rFonts w:eastAsiaTheme="minorEastAsia"/>
      <w:sz w:val="28"/>
      <w:szCs w:val="28"/>
      <w:lang w:eastAsia="en-US"/>
    </w:rPr>
  </w:style>
  <w:style w:type="paragraph" w:styleId="2148" w:customStyle="1">
    <w:name w:val="ph_additon_type"/>
    <w:basedOn w:val="2086"/>
    <w:next w:val="2127"/>
    <w:pPr>
      <w:jc w:val="center"/>
    </w:pPr>
    <w:rPr>
      <w:i/>
    </w:rPr>
  </w:style>
  <w:style w:type="paragraph" w:styleId="2149" w:customStyle="1">
    <w:name w:val="Чертежный"/>
    <w:pPr>
      <w:jc w:val="both"/>
    </w:pPr>
    <w:rPr>
      <w:rFonts w:ascii="ISOCPEUR" w:hAnsi="ISOCPEUR"/>
      <w:i/>
      <w:sz w:val="28"/>
      <w:lang w:val="uk-UA"/>
    </w:rPr>
  </w:style>
  <w:style w:type="paragraph" w:styleId="2150" w:customStyle="1">
    <w:name w:val="ph_table_colcaption_underline"/>
    <w:basedOn w:val="2135"/>
    <w:next w:val="2132"/>
    <w:rPr>
      <w:u w:val="single"/>
    </w:rPr>
  </w:style>
  <w:style w:type="paragraph" w:styleId="2151" w:customStyle="1">
    <w:name w:val="ph_stamp_left"/>
    <w:basedOn w:val="2128"/>
    <w:pPr>
      <w:jc w:val="left"/>
    </w:pPr>
    <w:rPr>
      <w:sz w:val="18"/>
    </w:rPr>
  </w:style>
  <w:style w:type="paragraph" w:styleId="2152" w:customStyle="1">
    <w:name w:val="Важно!"/>
    <w:basedOn w:val="1280"/>
    <w:link w:val="2153"/>
    <w:pPr>
      <w:ind w:left="567" w:right="567"/>
      <w:jc w:val="left"/>
      <w:spacing w:before="240" w:after="160"/>
      <w:pBdr>
        <w:top w:val="single" w:color="000000" w:sz="4" w:space="6"/>
        <w:left w:val="single" w:color="000000" w:sz="4" w:space="6"/>
        <w:bottom w:val="single" w:color="000000" w:sz="4" w:space="6"/>
        <w:right w:val="single" w:color="000000" w:sz="4" w:space="6"/>
      </w:pBdr>
    </w:pPr>
    <w:rPr>
      <w:rFonts w:ascii="Tahoma" w:hAnsi="Tahoma" w:eastAsia="Calibri"/>
      <w:b/>
      <w:color w:val="e02020"/>
      <w:sz w:val="20"/>
      <w:szCs w:val="28"/>
      <w:lang w:eastAsia="ko-KR"/>
    </w:rPr>
  </w:style>
  <w:style w:type="character" w:styleId="2153" w:customStyle="1">
    <w:name w:val="Важно! Знак"/>
    <w:link w:val="2152"/>
    <w:rPr>
      <w:rFonts w:ascii="Tahoma" w:hAnsi="Tahoma" w:eastAsia="Calibri"/>
      <w:b/>
      <w:color w:val="e02020"/>
      <w:szCs w:val="28"/>
      <w:lang w:eastAsia="ko-KR"/>
    </w:rPr>
  </w:style>
  <w:style w:type="character" w:styleId="2154" w:customStyle="1">
    <w:name w:val="Выдел_1"/>
    <w:rPr>
      <w:rFonts w:ascii="Tahoma" w:hAnsi="Tahoma"/>
      <w:i/>
      <w:spacing w:val="8"/>
      <w:position w:val="0"/>
      <w:sz w:val="24"/>
      <w:szCs w:val="24"/>
    </w:rPr>
  </w:style>
  <w:style w:type="paragraph" w:styleId="2155" w:customStyle="1">
    <w:name w:val="Текст1"/>
    <w:basedOn w:val="1873"/>
    <w:pPr>
      <w:ind w:firstLine="567"/>
      <w:spacing w:line="360" w:lineRule="auto"/>
    </w:pPr>
    <w:rPr>
      <w:rFonts w:ascii="Courier New" w:hAnsi="Courier New"/>
      <w:sz w:val="24"/>
      <w:szCs w:val="20"/>
    </w:rPr>
  </w:style>
  <w:style w:type="paragraph" w:styleId="2156" w:customStyle="1">
    <w:name w:val="Body Text 21"/>
    <w:basedOn w:val="1280"/>
    <w:pPr>
      <w:ind w:left="720" w:hanging="720"/>
      <w:jc w:val="left"/>
      <w:spacing w:before="60" w:after="60"/>
      <w:tabs>
        <w:tab w:val="num" w:pos="720" w:leader="none"/>
      </w:tabs>
    </w:pPr>
    <w:rPr>
      <w:rFonts w:ascii="Calibri" w:hAnsi="Calibri" w:eastAsia="Calibri"/>
      <w:szCs w:val="24"/>
      <w:lang w:eastAsia="en-US"/>
    </w:rPr>
  </w:style>
  <w:style w:type="paragraph" w:styleId="2157" w:customStyle="1">
    <w:name w:val="Table_Name"/>
    <w:basedOn w:val="1900"/>
    <w:qFormat/>
    <w:pPr>
      <w:ind w:firstLine="0"/>
    </w:pPr>
    <w:rPr>
      <w:rFonts w:eastAsia="Calibri"/>
      <w:spacing w:val="0"/>
    </w:rPr>
  </w:style>
  <w:style w:type="paragraph" w:styleId="2158" w:customStyle="1">
    <w:name w:val="Table_Header"/>
    <w:basedOn w:val="2157"/>
    <w:qFormat/>
    <w:pPr>
      <w:jc w:val="center"/>
    </w:pPr>
    <w:rPr>
      <w:b/>
    </w:rPr>
  </w:style>
  <w:style w:type="paragraph" w:styleId="2159" w:customStyle="1">
    <w:name w:val="Table_Graf"/>
    <w:basedOn w:val="2157"/>
    <w:qFormat/>
    <w:pPr>
      <w:jc w:val="left"/>
    </w:pPr>
  </w:style>
  <w:style w:type="paragraph" w:styleId="2160" w:customStyle="1">
    <w:name w:val="Введение"/>
    <w:next w:val="1900"/>
    <w:qFormat/>
    <w:pPr>
      <w:spacing w:before="480" w:after="360" w:line="360" w:lineRule="auto"/>
      <w:outlineLvl w:val="0"/>
    </w:pPr>
    <w:rPr>
      <w:rFonts w:eastAsia="Calibri"/>
      <w:b/>
      <w:caps/>
      <w:sz w:val="32"/>
      <w:szCs w:val="28"/>
      <w:lang w:eastAsia="en-US"/>
    </w:rPr>
  </w:style>
  <w:style w:type="paragraph" w:styleId="2161" w:customStyle="1">
    <w:name w:val="_Текст таблицы"/>
    <w:basedOn w:val="1280"/>
    <w:rPr>
      <w:rFonts w:eastAsia="Calibri"/>
      <w:szCs w:val="28"/>
      <w:lang w:eastAsia="ko-KR"/>
    </w:rPr>
  </w:style>
  <w:style w:type="paragraph" w:styleId="2162" w:customStyle="1">
    <w:name w:val="Титул_Согласовано"/>
    <w:basedOn w:val="1280"/>
    <w:qFormat/>
    <w:pPr>
      <w:jc w:val="center"/>
      <w:spacing w:before="120" w:after="120"/>
    </w:pPr>
    <w:rPr>
      <w:rFonts w:eastAsia="Calibri"/>
      <w:b/>
      <w:caps/>
      <w:szCs w:val="28"/>
      <w:lang w:eastAsia="en-US"/>
    </w:rPr>
  </w:style>
  <w:style w:type="paragraph" w:styleId="2163" w:customStyle="1">
    <w:name w:val="Титул_Утверждаю"/>
    <w:qFormat/>
    <w:pPr>
      <w:spacing w:before="120" w:after="120"/>
    </w:pPr>
    <w:rPr>
      <w:rFonts w:eastAsia="Calibri"/>
      <w:b/>
      <w:caps/>
      <w:sz w:val="28"/>
      <w:szCs w:val="28"/>
      <w:lang w:eastAsia="en-US"/>
    </w:rPr>
  </w:style>
  <w:style w:type="paragraph" w:styleId="2164" w:customStyle="1">
    <w:name w:val="Титул_Согласовано_Текст"/>
    <w:basedOn w:val="1280"/>
    <w:qFormat/>
    <w:pPr>
      <w:ind w:right="34"/>
      <w:jc w:val="center"/>
      <w:spacing w:before="120" w:after="120"/>
    </w:pPr>
    <w:rPr>
      <w:rFonts w:eastAsia="Calibri"/>
      <w:szCs w:val="28"/>
      <w:lang w:eastAsia="en-US"/>
    </w:rPr>
  </w:style>
  <w:style w:type="paragraph" w:styleId="2165" w:customStyle="1">
    <w:name w:val="Титул_Согл_Утв_ФИО"/>
    <w:basedOn w:val="1280"/>
    <w:qFormat/>
    <w:pPr>
      <w:jc w:val="right"/>
      <w:spacing w:before="120" w:after="120"/>
    </w:pPr>
    <w:rPr>
      <w:rFonts w:eastAsia="Calibri"/>
      <w:szCs w:val="28"/>
      <w:lang w:eastAsia="en-US"/>
    </w:rPr>
  </w:style>
  <w:style w:type="paragraph" w:styleId="2166" w:customStyle="1">
    <w:name w:val="Титул_Согл_Утв_Дата"/>
    <w:basedOn w:val="1280"/>
    <w:qFormat/>
    <w:pPr>
      <w:jc w:val="left"/>
      <w:spacing w:before="360" w:after="120"/>
    </w:pPr>
    <w:rPr>
      <w:rFonts w:eastAsia="Calibri"/>
      <w:szCs w:val="28"/>
      <w:lang w:eastAsia="en-US"/>
    </w:rPr>
  </w:style>
  <w:style w:type="paragraph" w:styleId="2167" w:customStyle="1">
    <w:name w:val="Титул_Наим_прог_средства"/>
    <w:basedOn w:val="1280"/>
    <w:qFormat/>
    <w:pPr>
      <w:jc w:val="center"/>
      <w:spacing w:before="120"/>
    </w:pPr>
    <w:rPr>
      <w:rFonts w:eastAsia="Calibri"/>
      <w:caps/>
      <w:szCs w:val="28"/>
      <w:lang w:eastAsia="en-US"/>
    </w:rPr>
  </w:style>
  <w:style w:type="paragraph" w:styleId="2168" w:customStyle="1">
    <w:name w:val="Титул_Наим_документа"/>
    <w:basedOn w:val="1280"/>
    <w:qFormat/>
    <w:pPr>
      <w:jc w:val="center"/>
      <w:spacing w:before="60"/>
    </w:pPr>
    <w:rPr>
      <w:rFonts w:eastAsia="Calibri"/>
      <w:szCs w:val="28"/>
      <w:lang w:eastAsia="en-US"/>
    </w:rPr>
  </w:style>
  <w:style w:type="paragraph" w:styleId="2169" w:customStyle="1">
    <w:name w:val="Титул_Код_прог_средства"/>
    <w:basedOn w:val="1280"/>
    <w:qFormat/>
    <w:pPr>
      <w:jc w:val="center"/>
      <w:spacing w:before="60"/>
    </w:pPr>
    <w:rPr>
      <w:rFonts w:eastAsia="Calibri"/>
      <w:szCs w:val="28"/>
      <w:lang w:eastAsia="en-US"/>
    </w:rPr>
  </w:style>
  <w:style w:type="paragraph" w:styleId="2170" w:customStyle="1">
    <w:name w:val="_Титул наименование организации"/>
    <w:basedOn w:val="1280"/>
    <w:link w:val="2171"/>
    <w:qFormat/>
    <w:pPr>
      <w:ind w:right="-5"/>
      <w:jc w:val="center"/>
      <w:spacing w:line="360" w:lineRule="atLeast"/>
      <w:widowControl w:val="off"/>
      <w:tabs>
        <w:tab w:val="left" w:pos="0" w:leader="none"/>
      </w:tabs>
    </w:pPr>
    <w:rPr>
      <w:rFonts w:eastAsia="Calibri"/>
      <w:szCs w:val="28"/>
      <w:lang w:eastAsia="ko-KR"/>
    </w:rPr>
  </w:style>
  <w:style w:type="character" w:styleId="2171" w:customStyle="1">
    <w:name w:val="_Титул наименование организации Знак"/>
    <w:link w:val="2170"/>
    <w:rPr>
      <w:rFonts w:eastAsia="Calibri"/>
      <w:sz w:val="24"/>
      <w:szCs w:val="28"/>
      <w:lang w:eastAsia="ko-KR"/>
    </w:rPr>
  </w:style>
  <w:style w:type="paragraph" w:styleId="2172" w:customStyle="1">
    <w:name w:val="Титул"/>
    <w:basedOn w:val="1280"/>
    <w:qFormat/>
    <w:pPr>
      <w:jc w:val="center"/>
      <w:spacing w:before="120" w:after="120"/>
    </w:pPr>
    <w:rPr>
      <w:rFonts w:eastAsia="Calibri"/>
      <w:szCs w:val="24"/>
      <w:lang w:eastAsia="en-US"/>
    </w:rPr>
  </w:style>
  <w:style w:type="paragraph" w:styleId="2173" w:customStyle="1">
    <w:name w:val="Титул_Разработчик"/>
    <w:basedOn w:val="1280"/>
    <w:qFormat/>
    <w:pPr>
      <w:jc w:val="center"/>
      <w:spacing w:before="120" w:after="120"/>
    </w:pPr>
    <w:rPr>
      <w:rFonts w:eastAsia="Calibri"/>
      <w:caps/>
      <w:szCs w:val="28"/>
      <w:lang w:eastAsia="en-US"/>
    </w:rPr>
  </w:style>
  <w:style w:type="paragraph" w:styleId="2174" w:customStyle="1">
    <w:name w:val="Титул_Разраб_Текст"/>
    <w:basedOn w:val="1280"/>
    <w:qFormat/>
    <w:pPr>
      <w:jc w:val="center"/>
      <w:spacing w:line="360" w:lineRule="atLeast"/>
    </w:pPr>
    <w:rPr>
      <w:rFonts w:eastAsia="Calibri"/>
      <w:szCs w:val="28"/>
      <w:lang w:eastAsia="en-US"/>
    </w:rPr>
  </w:style>
  <w:style w:type="paragraph" w:styleId="2175" w:customStyle="1">
    <w:name w:val="Титул_Разраб_ФИО"/>
    <w:basedOn w:val="2165"/>
    <w:qFormat/>
    <w:pPr>
      <w:spacing w:before="0" w:after="0" w:line="360" w:lineRule="atLeast"/>
    </w:pPr>
  </w:style>
  <w:style w:type="paragraph" w:styleId="2176" w:customStyle="1">
    <w:name w:val="Титул_Листов"/>
    <w:basedOn w:val="1280"/>
    <w:qFormat/>
    <w:pPr>
      <w:jc w:val="center"/>
      <w:spacing w:before="200"/>
    </w:pPr>
    <w:rPr>
      <w:rFonts w:eastAsia="Calibri"/>
      <w:szCs w:val="28"/>
      <w:lang w:eastAsia="en-US"/>
    </w:rPr>
  </w:style>
  <w:style w:type="paragraph" w:styleId="2177" w:customStyle="1">
    <w:name w:val="Титул_Год"/>
    <w:basedOn w:val="2176"/>
    <w:qFormat/>
    <w:pPr>
      <w:spacing w:before="0" w:line="360" w:lineRule="atLeast"/>
    </w:pPr>
  </w:style>
  <w:style w:type="paragraph" w:styleId="2178" w:customStyle="1">
    <w:name w:val="Table_Head_14M"/>
    <w:basedOn w:val="1900"/>
    <w:qFormat/>
    <w:pPr>
      <w:ind w:firstLine="0"/>
      <w:jc w:val="center"/>
      <w:spacing w:before="120" w:after="120" w:line="240" w:lineRule="auto"/>
    </w:pPr>
    <w:rPr>
      <w:rFonts w:eastAsia="Calibri"/>
      <w:b/>
      <w:spacing w:val="0"/>
    </w:rPr>
  </w:style>
  <w:style w:type="paragraph" w:styleId="2179" w:customStyle="1">
    <w:name w:val="Table_Graf_14L"/>
    <w:basedOn w:val="1900"/>
    <w:qFormat/>
    <w:pPr>
      <w:ind w:firstLine="0"/>
      <w:spacing w:line="240" w:lineRule="auto"/>
    </w:pPr>
    <w:rPr>
      <w:rFonts w:eastAsia="Calibri"/>
      <w:spacing w:val="0"/>
    </w:rPr>
  </w:style>
  <w:style w:type="paragraph" w:styleId="2180" w:customStyle="1">
    <w:name w:val="_Титул_Москва год"/>
    <w:basedOn w:val="1280"/>
    <w:link w:val="2181"/>
    <w:qFormat/>
    <w:pPr>
      <w:jc w:val="center"/>
      <w:spacing w:line="360" w:lineRule="atLeast"/>
      <w:widowControl w:val="off"/>
    </w:pPr>
    <w:rPr>
      <w:rFonts w:eastAsia="Calibri"/>
      <w:szCs w:val="28"/>
      <w:lang w:eastAsia="ko-KR"/>
    </w:rPr>
  </w:style>
  <w:style w:type="character" w:styleId="2181" w:customStyle="1">
    <w:name w:val="_Титул_Москва год Знак"/>
    <w:link w:val="2180"/>
    <w:rPr>
      <w:rFonts w:eastAsia="Calibri"/>
      <w:sz w:val="24"/>
      <w:szCs w:val="28"/>
      <w:lang w:eastAsia="ko-KR"/>
    </w:rPr>
  </w:style>
  <w:style w:type="paragraph" w:styleId="2182" w:customStyle="1">
    <w:name w:val="_Титул_Количество страниц"/>
    <w:basedOn w:val="1280"/>
    <w:link w:val="2183"/>
    <w:pPr>
      <w:jc w:val="center"/>
      <w:spacing w:before="200"/>
    </w:pPr>
    <w:rPr>
      <w:rFonts w:eastAsia="Calibri"/>
      <w:szCs w:val="28"/>
      <w:lang w:eastAsia="ko-KR"/>
    </w:rPr>
  </w:style>
  <w:style w:type="character" w:styleId="2183" w:customStyle="1">
    <w:name w:val="_Титул_Количество страниц Знак"/>
    <w:link w:val="2182"/>
    <w:rPr>
      <w:rFonts w:eastAsia="Calibri"/>
      <w:sz w:val="24"/>
      <w:szCs w:val="28"/>
      <w:lang w:eastAsia="ko-KR"/>
    </w:rPr>
  </w:style>
  <w:style w:type="character" w:styleId="2184" w:customStyle="1">
    <w:name w:val="ph_list_itemized_1 Знак"/>
    <w:link w:val="2121"/>
    <w:rPr>
      <w:rFonts w:ascii="Arial" w:hAnsi="Arial" w:cs="Arial"/>
      <w:sz w:val="24"/>
      <w:lang w:eastAsia="en-US"/>
    </w:rPr>
  </w:style>
  <w:style w:type="paragraph" w:styleId="2185" w:customStyle="1">
    <w:name w:val="ТТ_ТаблицаТекст"/>
    <w:basedOn w:val="1280"/>
    <w:qFormat/>
    <w:rPr>
      <w:rFonts w:eastAsia="Calibri"/>
      <w:szCs w:val="28"/>
      <w:lang w:eastAsia="ko-KR"/>
    </w:rPr>
  </w:style>
  <w:style w:type="paragraph" w:styleId="2186" w:customStyle="1">
    <w:name w:val="ТТ_МСписок1"/>
    <w:basedOn w:val="1280"/>
    <w:link w:val="2187"/>
    <w:qFormat/>
    <w:pPr>
      <w:ind w:left="567"/>
      <w:spacing w:before="60" w:after="60"/>
      <w:tabs>
        <w:tab w:val="left" w:pos="851" w:leader="none"/>
      </w:tabs>
    </w:pPr>
    <w:rPr>
      <w:rFonts w:eastAsia="Calibri"/>
      <w:szCs w:val="28"/>
      <w:lang w:eastAsia="en-US"/>
    </w:rPr>
  </w:style>
  <w:style w:type="character" w:styleId="2187" w:customStyle="1">
    <w:name w:val="ТТ_МСписок1 Знак"/>
    <w:link w:val="2186"/>
    <w:rPr>
      <w:rFonts w:eastAsia="Calibri"/>
      <w:sz w:val="24"/>
      <w:szCs w:val="28"/>
      <w:lang w:eastAsia="en-US"/>
    </w:rPr>
  </w:style>
  <w:style w:type="paragraph" w:styleId="2188" w:customStyle="1">
    <w:name w:val="_ТаблПримечание"/>
    <w:pPr>
      <w:numPr>
        <w:ilvl w:val="0"/>
        <w:numId w:val="109"/>
      </w:numPr>
      <w:ind w:left="57" w:hanging="57"/>
      <w:jc w:val="both"/>
      <w:spacing w:before="40"/>
    </w:pPr>
    <w:rPr>
      <w:spacing w:val="-2"/>
      <w:sz w:val="22"/>
      <w:szCs w:val="18"/>
    </w:rPr>
  </w:style>
  <w:style w:type="character" w:styleId="2189" w:customStyle="1">
    <w:name w:val="SB_Heading2 Знак"/>
    <w:rPr>
      <w:rFonts w:ascii="Times New Roman" w:hAnsi="Times New Roman" w:eastAsia="Times New Roman" w:cs="Times New Roman"/>
      <w:b/>
      <w:sz w:val="28"/>
      <w:szCs w:val="24"/>
    </w:rPr>
  </w:style>
  <w:style w:type="paragraph" w:styleId="2190" w:customStyle="1">
    <w:name w:val="Абзац обычный"/>
    <w:basedOn w:val="1280"/>
    <w:link w:val="2192"/>
    <w:qFormat/>
    <w:pPr>
      <w:ind w:firstLine="709"/>
      <w:spacing w:after="120" w:line="360" w:lineRule="auto"/>
    </w:pPr>
    <w:rPr>
      <w:rFonts w:eastAsia="Calibri"/>
      <w:szCs w:val="24"/>
      <w:lang w:eastAsia="en-US"/>
    </w:rPr>
  </w:style>
  <w:style w:type="paragraph" w:styleId="2191" w:customStyle="1">
    <w:name w:val="Абзац маркер 1"/>
    <w:basedOn w:val="2190"/>
    <w:link w:val="2193"/>
    <w:qFormat/>
  </w:style>
  <w:style w:type="character" w:styleId="2192" w:customStyle="1">
    <w:name w:val="Абзац обычный Знак"/>
    <w:link w:val="2190"/>
    <w:rPr>
      <w:rFonts w:eastAsia="Calibri"/>
      <w:sz w:val="24"/>
      <w:szCs w:val="24"/>
      <w:lang w:eastAsia="en-US"/>
    </w:rPr>
  </w:style>
  <w:style w:type="character" w:styleId="2193" w:customStyle="1">
    <w:name w:val="Абзац маркер 1 Знак"/>
    <w:link w:val="2191"/>
    <w:rPr>
      <w:rFonts w:eastAsia="Calibri"/>
      <w:sz w:val="24"/>
      <w:szCs w:val="24"/>
      <w:lang w:eastAsia="en-US"/>
    </w:rPr>
  </w:style>
  <w:style w:type="paragraph" w:styleId="2194" w:customStyle="1">
    <w:name w:val="Абзац номер 1"/>
    <w:basedOn w:val="1280"/>
    <w:link w:val="2195"/>
    <w:qFormat/>
    <w:pPr>
      <w:numPr>
        <w:ilvl w:val="0"/>
        <w:numId w:val="110"/>
      </w:numPr>
      <w:spacing w:after="120" w:line="360" w:lineRule="auto"/>
    </w:pPr>
    <w:rPr>
      <w:rFonts w:eastAsia="Calibri"/>
      <w:szCs w:val="28"/>
      <w:lang w:eastAsia="en-US"/>
    </w:rPr>
  </w:style>
  <w:style w:type="character" w:styleId="2195" w:customStyle="1">
    <w:name w:val="Абзац номер 1 Знак"/>
    <w:link w:val="2194"/>
    <w:rPr>
      <w:rFonts w:eastAsia="Calibri"/>
      <w:sz w:val="24"/>
      <w:szCs w:val="28"/>
      <w:lang w:eastAsia="en-US"/>
    </w:rPr>
  </w:style>
  <w:style w:type="character" w:styleId="2196" w:customStyle="1">
    <w:name w:val="T_Тит_Гриф Знак"/>
    <w:link w:val="2197"/>
    <w:uiPriority w:val="99"/>
    <w:rPr>
      <w:rFonts w:ascii="ISOCPEUR" w:hAnsi="ISOCPEUR"/>
      <w:i/>
      <w:sz w:val="28"/>
    </w:rPr>
  </w:style>
  <w:style w:type="paragraph" w:styleId="2197" w:customStyle="1">
    <w:name w:val="T_Тит_Гриф"/>
    <w:basedOn w:val="1280"/>
    <w:link w:val="2196"/>
    <w:uiPriority w:val="99"/>
    <w:pPr>
      <w:jc w:val="left"/>
      <w:spacing w:before="120" w:line="360" w:lineRule="auto"/>
      <w:widowControl w:val="off"/>
    </w:pPr>
    <w:rPr>
      <w:rFonts w:ascii="ISOCPEUR" w:hAnsi="ISOCPEUR"/>
      <w:i/>
      <w:sz w:val="28"/>
    </w:rPr>
  </w:style>
  <w:style w:type="paragraph" w:styleId="2198" w:customStyle="1">
    <w:name w:val="T_Тит_Наименование"/>
    <w:basedOn w:val="1280"/>
    <w:uiPriority w:val="99"/>
    <w:pPr>
      <w:jc w:val="center"/>
      <w:spacing w:before="120"/>
    </w:pPr>
    <w:rPr>
      <w:rFonts w:ascii="ISOCPEUR" w:hAnsi="ISOCPEUR" w:eastAsia="Calibri"/>
      <w:i/>
      <w:sz w:val="38"/>
      <w:szCs w:val="28"/>
      <w:lang w:eastAsia="ko-KR"/>
    </w:rPr>
  </w:style>
  <w:style w:type="paragraph" w:styleId="2199" w:customStyle="1">
    <w:name w:val="T_Тит_ Код по классификатору"/>
    <w:basedOn w:val="1280"/>
    <w:uiPriority w:val="99"/>
    <w:pPr>
      <w:jc w:val="left"/>
      <w:spacing w:before="120"/>
    </w:pPr>
    <w:rPr>
      <w:rFonts w:ascii="ISOCPEUR" w:hAnsi="ISOCPEUR" w:eastAsia="Calibri"/>
      <w:i/>
      <w:szCs w:val="28"/>
      <w:lang w:eastAsia="ko-KR"/>
    </w:rPr>
  </w:style>
  <w:style w:type="paragraph" w:styleId="2200" w:customStyle="1">
    <w:name w:val="T_Тит_Заводской номер"/>
    <w:basedOn w:val="1280"/>
    <w:uiPriority w:val="99"/>
    <w:pPr>
      <w:ind w:firstLine="709"/>
      <w:jc w:val="right"/>
      <w:spacing w:before="120"/>
    </w:pPr>
    <w:rPr>
      <w:rFonts w:ascii="ISOCPEUR" w:hAnsi="ISOCPEUR" w:eastAsia="Calibri"/>
      <w:i/>
      <w:szCs w:val="28"/>
      <w:lang w:eastAsia="ko-KR"/>
    </w:rPr>
  </w:style>
  <w:style w:type="paragraph" w:styleId="2201" w:customStyle="1">
    <w:name w:val="T_Тит_Должности"/>
    <w:basedOn w:val="1280"/>
    <w:uiPriority w:val="99"/>
    <w:pPr>
      <w:jc w:val="left"/>
      <w:spacing w:before="120"/>
      <w:widowControl w:val="off"/>
    </w:pPr>
    <w:rPr>
      <w:rFonts w:ascii="ISOCPEUR" w:hAnsi="ISOCPEUR" w:eastAsia="Calibri"/>
      <w:i/>
      <w:szCs w:val="28"/>
      <w:lang w:eastAsia="ko-KR"/>
    </w:rPr>
  </w:style>
  <w:style w:type="paragraph" w:styleId="2202" w:customStyle="1">
    <w:name w:val="paragraph"/>
    <w:basedOn w:val="1280"/>
    <w:pPr>
      <w:jc w:val="left"/>
      <w:spacing w:before="100" w:beforeAutospacing="1" w:after="100" w:afterAutospacing="1"/>
    </w:pPr>
    <w:rPr>
      <w:rFonts w:eastAsia="Calibri"/>
      <w:szCs w:val="28"/>
      <w:lang w:eastAsia="ko-KR"/>
    </w:rPr>
  </w:style>
  <w:style w:type="character" w:styleId="2203" w:customStyle="1">
    <w:name w:val="normaltextrun"/>
    <w:basedOn w:val="1290"/>
  </w:style>
  <w:style w:type="character" w:styleId="2204" w:customStyle="1">
    <w:name w:val="eop"/>
    <w:basedOn w:val="1290"/>
  </w:style>
  <w:style w:type="character" w:styleId="2205" w:customStyle="1">
    <w:name w:val="ph_normal Знак Знак"/>
    <w:link w:val="2127"/>
    <w:rPr>
      <w:rFonts w:ascii="Arial" w:hAnsi="Arial"/>
      <w:sz w:val="24"/>
    </w:rPr>
  </w:style>
  <w:style w:type="paragraph" w:styleId="2206" w:customStyle="1">
    <w:name w:val="OTR_Table_List_Mark"/>
    <w:basedOn w:val="1280"/>
    <w:link w:val="2250"/>
    <w:pPr>
      <w:numPr>
        <w:ilvl w:val="0"/>
        <w:numId w:val="111"/>
      </w:numPr>
      <w:ind w:left="720" w:hanging="360"/>
      <w:jc w:val="left"/>
      <w:spacing w:before="60" w:after="60"/>
      <w:tabs>
        <w:tab w:val="clear" w:pos="284" w:leader="none"/>
      </w:tabs>
    </w:pPr>
    <w:rPr>
      <w:rFonts w:eastAsia="Calibri"/>
      <w:lang w:eastAsia="ko-KR"/>
    </w:rPr>
  </w:style>
  <w:style w:type="character" w:styleId="2207" w:customStyle="1">
    <w:name w:val="_EB_Table_norm Знак"/>
    <w:link w:val="1486"/>
    <w:semiHidden/>
    <w:rPr>
      <w:sz w:val="24"/>
    </w:rPr>
  </w:style>
  <w:style w:type="character" w:styleId="2208" w:customStyle="1">
    <w:name w:val="UL Знак1"/>
    <w:rPr>
      <w:rFonts w:ascii="Times New Roman" w:hAnsi="Times New Roman"/>
      <w:sz w:val="28"/>
      <w:szCs w:val="24"/>
    </w:rPr>
  </w:style>
  <w:style w:type="paragraph" w:styleId="2209" w:customStyle="1">
    <w:name w:val="Текст в табл. мал."/>
    <w:basedOn w:val="1280"/>
    <w:pPr>
      <w:ind w:right="113"/>
      <w:keepLines/>
      <w:spacing w:before="60" w:after="60"/>
    </w:pPr>
    <w:rPr>
      <w:rFonts w:eastAsia="Calibri"/>
      <w:lang w:eastAsia="en-US"/>
    </w:rPr>
  </w:style>
  <w:style w:type="paragraph" w:styleId="2210" w:customStyle="1">
    <w:name w:val="font5"/>
    <w:basedOn w:val="1280"/>
    <w:pPr>
      <w:ind w:firstLine="0"/>
      <w:jc w:val="left"/>
      <w:spacing w:before="100" w:beforeAutospacing="1" w:after="100" w:afterAutospacing="1"/>
    </w:pPr>
    <w:rPr>
      <w:rFonts w:ascii="Tahoma" w:hAnsi="Tahoma" w:cs="Tahoma"/>
      <w:b/>
      <w:bCs/>
      <w:color w:val="000000"/>
      <w:sz w:val="18"/>
      <w:szCs w:val="18"/>
    </w:rPr>
  </w:style>
  <w:style w:type="paragraph" w:styleId="2211" w:customStyle="1">
    <w:name w:val="xl67"/>
    <w:basedOn w:val="1280"/>
    <w:pPr>
      <w:ind w:firstLine="0"/>
      <w:jc w:val="center"/>
      <w:spacing w:before="100" w:beforeAutospacing="1" w:after="100" w:afterAutospacing="1"/>
      <w:shd w:val="clear" w:color="000000" w:fill="d9d9d9"/>
      <w:pBdr>
        <w:top w:val="single" w:color="000000" w:sz="8" w:space="0"/>
        <w:bottom w:val="single" w:color="000000" w:sz="8" w:space="0"/>
        <w:right w:val="single" w:color="000000" w:sz="8" w:space="0"/>
      </w:pBdr>
    </w:pPr>
    <w:rPr>
      <w:b/>
      <w:bCs/>
      <w:color w:val="333333"/>
      <w:szCs w:val="24"/>
    </w:rPr>
  </w:style>
  <w:style w:type="paragraph" w:styleId="2212" w:customStyle="1">
    <w:name w:val="xl68"/>
    <w:basedOn w:val="1280"/>
    <w:pPr>
      <w:ind w:firstLine="0"/>
      <w:jc w:val="center"/>
      <w:spacing w:before="100" w:beforeAutospacing="1" w:after="100" w:afterAutospacing="1"/>
      <w:shd w:val="clear" w:color="000000" w:fill="ffffcc"/>
      <w:pBdr>
        <w:top w:val="single" w:color="000000" w:sz="8" w:space="0"/>
        <w:left w:val="single" w:color="000000" w:sz="8" w:space="0"/>
        <w:bottom w:val="single" w:color="000000" w:sz="8" w:space="0"/>
        <w:right w:val="single" w:color="000000" w:sz="8" w:space="0"/>
      </w:pBdr>
    </w:pPr>
    <w:rPr>
      <w:b/>
      <w:bCs/>
      <w:szCs w:val="24"/>
    </w:rPr>
  </w:style>
  <w:style w:type="paragraph" w:styleId="2213" w:customStyle="1">
    <w:name w:val="xl69"/>
    <w:basedOn w:val="1280"/>
    <w:pPr>
      <w:ind w:firstLine="0"/>
      <w:jc w:val="center"/>
      <w:spacing w:before="100" w:beforeAutospacing="1" w:after="100" w:afterAutospacing="1"/>
      <w:shd w:val="clear" w:color="000000" w:fill="ffffcc"/>
      <w:pBdr>
        <w:top w:val="single" w:color="000000" w:sz="8" w:space="0"/>
        <w:bottom w:val="single" w:color="000000" w:sz="8" w:space="0"/>
      </w:pBdr>
    </w:pPr>
    <w:rPr>
      <w:b/>
      <w:bCs/>
      <w:szCs w:val="24"/>
    </w:rPr>
  </w:style>
  <w:style w:type="paragraph" w:styleId="2214" w:customStyle="1">
    <w:name w:val="xl70"/>
    <w:basedOn w:val="1280"/>
    <w:pPr>
      <w:ind w:firstLine="0"/>
      <w:jc w:val="center"/>
      <w:spacing w:before="100" w:beforeAutospacing="1" w:after="100" w:afterAutospacing="1"/>
      <w:shd w:val="clear" w:color="000000" w:fill="ffffcc"/>
      <w:pBdr>
        <w:top w:val="single" w:color="000000" w:sz="8" w:space="0"/>
        <w:bottom w:val="single" w:color="000000" w:sz="8" w:space="0"/>
        <w:right w:val="single" w:color="000000" w:sz="8" w:space="0"/>
      </w:pBdr>
    </w:pPr>
    <w:rPr>
      <w:b/>
      <w:bCs/>
      <w:szCs w:val="24"/>
    </w:rPr>
  </w:style>
  <w:style w:type="paragraph" w:styleId="2215" w:customStyle="1">
    <w:name w:val="xl71"/>
    <w:basedOn w:val="1280"/>
    <w:pPr>
      <w:ind w:firstLine="0"/>
      <w:jc w:val="center"/>
      <w:spacing w:before="100" w:beforeAutospacing="1" w:after="100" w:afterAutospacing="1"/>
      <w:shd w:val="clear" w:color="000000" w:fill="ffffcc"/>
      <w:pBdr>
        <w:top w:val="single" w:color="000000" w:sz="8" w:space="0"/>
        <w:bottom w:val="single" w:color="000000" w:sz="8" w:space="0"/>
        <w:right w:val="single" w:color="000000" w:sz="8" w:space="0"/>
      </w:pBdr>
    </w:pPr>
    <w:rPr>
      <w:b/>
      <w:bCs/>
      <w:szCs w:val="24"/>
    </w:rPr>
  </w:style>
  <w:style w:type="paragraph" w:styleId="2216" w:customStyle="1">
    <w:name w:val="xl72"/>
    <w:basedOn w:val="1280"/>
    <w:pPr>
      <w:ind w:firstLine="0"/>
      <w:jc w:val="center"/>
      <w:spacing w:before="100" w:beforeAutospacing="1" w:after="100" w:afterAutospacing="1"/>
    </w:pPr>
    <w:rPr>
      <w:b/>
      <w:bCs/>
      <w:szCs w:val="24"/>
    </w:rPr>
  </w:style>
  <w:style w:type="paragraph" w:styleId="2217" w:customStyle="1">
    <w:name w:val="xl73"/>
    <w:basedOn w:val="1280"/>
    <w:pPr>
      <w:ind w:firstLine="0"/>
      <w:jc w:val="center"/>
      <w:spacing w:before="100" w:beforeAutospacing="1" w:after="100" w:afterAutospacing="1"/>
    </w:pPr>
    <w:rPr>
      <w:szCs w:val="24"/>
    </w:rPr>
  </w:style>
  <w:style w:type="paragraph" w:styleId="2218" w:customStyle="1">
    <w:name w:val="xl74"/>
    <w:basedOn w:val="1280"/>
    <w:pPr>
      <w:ind w:firstLine="0"/>
      <w:jc w:val="center"/>
      <w:spacing w:before="100" w:beforeAutospacing="1" w:after="100" w:afterAutospacing="1"/>
    </w:pPr>
    <w:rPr>
      <w:szCs w:val="24"/>
    </w:rPr>
  </w:style>
  <w:style w:type="paragraph" w:styleId="2219" w:customStyle="1">
    <w:name w:val="xl75"/>
    <w:basedOn w:val="1280"/>
    <w:pPr>
      <w:ind w:firstLine="0"/>
      <w:jc w:val="center"/>
      <w:spacing w:before="100" w:beforeAutospacing="1" w:after="100" w:afterAutospacing="1"/>
    </w:pPr>
    <w:rPr>
      <w:szCs w:val="24"/>
    </w:rPr>
  </w:style>
  <w:style w:type="paragraph" w:styleId="2220" w:customStyle="1">
    <w:name w:val="xl76"/>
    <w:basedOn w:val="1280"/>
    <w:pPr>
      <w:ind w:firstLine="0"/>
      <w:jc w:val="left"/>
      <w:spacing w:before="100" w:beforeAutospacing="1" w:after="100" w:afterAutospacing="1"/>
    </w:pPr>
    <w:rPr>
      <w:szCs w:val="24"/>
    </w:rPr>
  </w:style>
  <w:style w:type="paragraph" w:styleId="2221" w:customStyle="1">
    <w:name w:val="xl77"/>
    <w:basedOn w:val="1280"/>
    <w:pPr>
      <w:ind w:firstLine="0"/>
      <w:jc w:val="center"/>
      <w:spacing w:before="100" w:beforeAutospacing="1" w:after="100" w:afterAutospacing="1"/>
    </w:pPr>
    <w:rPr>
      <w:szCs w:val="24"/>
    </w:rPr>
  </w:style>
  <w:style w:type="paragraph" w:styleId="2222" w:customStyle="1">
    <w:name w:val="xl78"/>
    <w:basedOn w:val="1280"/>
    <w:pPr>
      <w:ind w:firstLine="0"/>
      <w:jc w:val="center"/>
      <w:spacing w:before="100" w:beforeAutospacing="1" w:after="100" w:afterAutospacing="1"/>
      <w:shd w:val="clear" w:color="000000" w:fill="d9d9d9"/>
      <w:pBdr>
        <w:top w:val="single" w:color="000000" w:sz="8" w:space="0"/>
        <w:left w:val="single" w:color="000000" w:sz="8" w:space="0"/>
        <w:bottom w:val="single" w:color="000000" w:sz="8" w:space="0"/>
        <w:right w:val="single" w:color="000000" w:sz="8" w:space="0"/>
      </w:pBdr>
    </w:pPr>
    <w:rPr>
      <w:b/>
      <w:bCs/>
      <w:szCs w:val="24"/>
    </w:rPr>
  </w:style>
  <w:style w:type="paragraph" w:styleId="2223" w:customStyle="1">
    <w:name w:val="xl79"/>
    <w:basedOn w:val="1280"/>
    <w:pPr>
      <w:ind w:firstLine="0"/>
      <w:jc w:val="center"/>
      <w:spacing w:before="100" w:beforeAutospacing="1" w:after="100" w:afterAutospacing="1"/>
      <w:shd w:val="clear" w:color="000000" w:fill="d9d9d9"/>
      <w:pBdr>
        <w:top w:val="single" w:color="000000" w:sz="8" w:space="0"/>
        <w:bottom w:val="single" w:color="000000" w:sz="8" w:space="0"/>
        <w:right w:val="single" w:color="000000" w:sz="8" w:space="0"/>
      </w:pBdr>
    </w:pPr>
    <w:rPr>
      <w:b/>
      <w:bCs/>
      <w:szCs w:val="24"/>
    </w:rPr>
  </w:style>
  <w:style w:type="paragraph" w:styleId="2224" w:customStyle="1">
    <w:name w:val="xl80"/>
    <w:basedOn w:val="1280"/>
    <w:pPr>
      <w:ind w:firstLine="0"/>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color w:val="000000"/>
      <w:szCs w:val="24"/>
    </w:rPr>
  </w:style>
  <w:style w:type="paragraph" w:styleId="2225" w:customStyle="1">
    <w:name w:val="xl81"/>
    <w:basedOn w:val="1280"/>
    <w:pPr>
      <w:ind w:firstLine="0"/>
      <w:jc w:val="left"/>
      <w:spacing w:before="100" w:beforeAutospacing="1" w:after="100" w:afterAutospacing="1"/>
      <w:pBdr>
        <w:top w:val="single" w:color="000000" w:sz="4" w:space="0"/>
        <w:left w:val="single" w:color="000000" w:sz="4" w:space="0"/>
        <w:bottom w:val="single" w:color="000000" w:sz="4" w:space="0"/>
        <w:right w:val="single" w:color="000000" w:sz="4" w:space="0"/>
      </w:pBdr>
    </w:pPr>
    <w:rPr>
      <w:color w:val="000000"/>
      <w:szCs w:val="24"/>
    </w:rPr>
  </w:style>
  <w:style w:type="paragraph" w:styleId="2226" w:customStyle="1">
    <w:name w:val="xl82"/>
    <w:basedOn w:val="1280"/>
    <w:pPr>
      <w:ind w:firstLine="0"/>
      <w:jc w:val="left"/>
      <w:spacing w:before="100" w:beforeAutospacing="1" w:after="100" w:afterAutospacing="1"/>
    </w:pPr>
    <w:rPr>
      <w:color w:val="000000"/>
      <w:szCs w:val="24"/>
    </w:rPr>
  </w:style>
  <w:style w:type="paragraph" w:styleId="2227" w:customStyle="1">
    <w:name w:val="xl83"/>
    <w:basedOn w:val="1280"/>
    <w:pPr>
      <w:ind w:firstLine="0"/>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color w:val="000000"/>
      <w:szCs w:val="24"/>
    </w:rPr>
  </w:style>
  <w:style w:type="paragraph" w:styleId="2228" w:customStyle="1">
    <w:name w:val="xl84"/>
    <w:basedOn w:val="1280"/>
    <w:pPr>
      <w:ind w:firstLine="0"/>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color w:val="000000"/>
      <w:szCs w:val="24"/>
    </w:rPr>
  </w:style>
  <w:style w:type="paragraph" w:styleId="2229" w:customStyle="1">
    <w:name w:val="xl85"/>
    <w:basedOn w:val="1280"/>
    <w:pPr>
      <w:ind w:firstLine="0"/>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color w:val="000000"/>
      <w:szCs w:val="24"/>
    </w:rPr>
  </w:style>
  <w:style w:type="paragraph" w:styleId="2230" w:customStyle="1">
    <w:name w:val="xl86"/>
    <w:basedOn w:val="1280"/>
    <w:pPr>
      <w:ind w:firstLine="0"/>
      <w:jc w:val="left"/>
      <w:spacing w:before="100" w:beforeAutospacing="1" w:after="100" w:afterAutospacing="1"/>
      <w:pBdr>
        <w:top w:val="single" w:color="000000" w:sz="4" w:space="0"/>
        <w:left w:val="single" w:color="000000" w:sz="4" w:space="0"/>
        <w:bottom w:val="single" w:color="000000" w:sz="4" w:space="0"/>
        <w:right w:val="single" w:color="000000" w:sz="4" w:space="0"/>
      </w:pBdr>
    </w:pPr>
    <w:rPr>
      <w:color w:val="000000"/>
      <w:szCs w:val="24"/>
    </w:rPr>
  </w:style>
  <w:style w:type="paragraph" w:styleId="2231" w:customStyle="1">
    <w:name w:val="xl87"/>
    <w:basedOn w:val="1280"/>
    <w:pPr>
      <w:ind w:firstLine="0"/>
      <w:jc w:val="left"/>
      <w:spacing w:before="100" w:beforeAutospacing="1" w:after="100" w:afterAutospacing="1"/>
    </w:pPr>
    <w:rPr>
      <w:color w:val="000000"/>
      <w:szCs w:val="24"/>
    </w:rPr>
  </w:style>
  <w:style w:type="paragraph" w:styleId="2232" w:customStyle="1">
    <w:name w:val="xl88"/>
    <w:basedOn w:val="1280"/>
    <w:pPr>
      <w:ind w:firstLine="0"/>
      <w:jc w:val="center"/>
      <w:spacing w:before="100" w:beforeAutospacing="1" w:after="100" w:afterAutospacing="1"/>
      <w:pBdr>
        <w:left w:val="single" w:color="000000" w:sz="4" w:space="0"/>
        <w:right w:val="single" w:color="000000" w:sz="4" w:space="0"/>
      </w:pBdr>
    </w:pPr>
    <w:rPr>
      <w:color w:val="000000"/>
      <w:szCs w:val="24"/>
    </w:rPr>
  </w:style>
  <w:style w:type="paragraph" w:styleId="2233" w:customStyle="1">
    <w:name w:val="xl89"/>
    <w:basedOn w:val="1280"/>
    <w:pPr>
      <w:ind w:firstLine="0"/>
      <w:jc w:val="center"/>
      <w:spacing w:before="100" w:beforeAutospacing="1" w:after="100" w:afterAutospacing="1"/>
      <w:pBdr>
        <w:left w:val="single" w:color="000000" w:sz="4" w:space="0"/>
        <w:bottom w:val="single" w:color="000000" w:sz="4" w:space="0"/>
        <w:right w:val="single" w:color="000000" w:sz="4" w:space="0"/>
      </w:pBdr>
    </w:pPr>
    <w:rPr>
      <w:color w:val="000000"/>
      <w:szCs w:val="24"/>
    </w:rPr>
  </w:style>
  <w:style w:type="paragraph" w:styleId="2234" w:customStyle="1">
    <w:name w:val="xl90"/>
    <w:basedOn w:val="1280"/>
    <w:pPr>
      <w:ind w:firstLine="0"/>
      <w:jc w:val="center"/>
      <w:spacing w:before="100" w:beforeAutospacing="1" w:after="100" w:afterAutospacing="1"/>
      <w:pBdr>
        <w:top w:val="single" w:color="000000" w:sz="4" w:space="0"/>
        <w:left w:val="single" w:color="000000" w:sz="4" w:space="0"/>
        <w:right w:val="single" w:color="000000" w:sz="4" w:space="0"/>
      </w:pBdr>
    </w:pPr>
    <w:rPr>
      <w:color w:val="000000"/>
      <w:szCs w:val="24"/>
    </w:rPr>
  </w:style>
  <w:style w:type="paragraph" w:styleId="2235" w:customStyle="1">
    <w:name w:val="xl91"/>
    <w:basedOn w:val="1280"/>
    <w:pPr>
      <w:ind w:firstLine="0"/>
      <w:jc w:val="center"/>
      <w:spacing w:before="100" w:beforeAutospacing="1" w:after="100" w:afterAutospacing="1"/>
      <w:pBdr>
        <w:left w:val="single" w:color="000000" w:sz="4" w:space="0"/>
        <w:bottom w:val="single" w:color="000000" w:sz="4" w:space="0"/>
        <w:right w:val="single" w:color="000000" w:sz="4" w:space="0"/>
      </w:pBdr>
    </w:pPr>
    <w:rPr>
      <w:color w:val="000000"/>
      <w:szCs w:val="24"/>
    </w:rPr>
  </w:style>
  <w:style w:type="paragraph" w:styleId="2236" w:customStyle="1">
    <w:name w:val="xl92"/>
    <w:basedOn w:val="1280"/>
    <w:pPr>
      <w:ind w:firstLine="0"/>
      <w:jc w:val="center"/>
      <w:spacing w:before="100" w:beforeAutospacing="1" w:after="100" w:afterAutospacing="1"/>
    </w:pPr>
    <w:rPr>
      <w:color w:val="000000"/>
      <w:szCs w:val="24"/>
    </w:rPr>
  </w:style>
  <w:style w:type="paragraph" w:styleId="2237" w:customStyle="1">
    <w:name w:val="xl93"/>
    <w:basedOn w:val="1280"/>
    <w:pPr>
      <w:ind w:firstLine="0"/>
      <w:jc w:val="left"/>
      <w:spacing w:before="100" w:beforeAutospacing="1" w:after="100" w:afterAutospacing="1"/>
    </w:pPr>
    <w:rPr>
      <w:color w:val="000000"/>
      <w:szCs w:val="24"/>
    </w:rPr>
  </w:style>
  <w:style w:type="paragraph" w:styleId="2238" w:customStyle="1">
    <w:name w:val="xl94"/>
    <w:basedOn w:val="1280"/>
    <w:pPr>
      <w:ind w:firstLine="0"/>
      <w:jc w:val="center"/>
      <w:spacing w:before="100" w:beforeAutospacing="1" w:after="100" w:afterAutospacing="1"/>
      <w:pBdr>
        <w:top w:val="single" w:color="000000" w:sz="4" w:space="0"/>
        <w:left w:val="single" w:color="000000" w:sz="4" w:space="0"/>
        <w:right w:val="single" w:color="000000" w:sz="4" w:space="0"/>
      </w:pBdr>
    </w:pPr>
    <w:rPr>
      <w:color w:val="000000"/>
      <w:szCs w:val="24"/>
    </w:rPr>
  </w:style>
  <w:style w:type="paragraph" w:styleId="2239" w:customStyle="1">
    <w:name w:val="xl95"/>
    <w:basedOn w:val="1280"/>
    <w:pPr>
      <w:ind w:firstLine="0"/>
      <w:jc w:val="left"/>
      <w:spacing w:before="100" w:beforeAutospacing="1" w:after="100" w:afterAutospacing="1"/>
      <w:pBdr>
        <w:top w:val="single" w:color="000000" w:sz="4" w:space="0"/>
        <w:left w:val="single" w:color="000000" w:sz="4" w:space="0"/>
        <w:right w:val="single" w:color="000000" w:sz="4" w:space="0"/>
      </w:pBdr>
    </w:pPr>
    <w:rPr>
      <w:color w:val="000000"/>
      <w:szCs w:val="24"/>
    </w:rPr>
  </w:style>
  <w:style w:type="paragraph" w:styleId="2240" w:customStyle="1">
    <w:name w:val="xl96"/>
    <w:basedOn w:val="1280"/>
    <w:pPr>
      <w:ind w:firstLine="0"/>
      <w:jc w:val="center"/>
      <w:spacing w:before="100" w:beforeAutospacing="1" w:after="100" w:afterAutospacing="1"/>
      <w:pBdr>
        <w:left w:val="single" w:color="000000" w:sz="8" w:space="0"/>
      </w:pBdr>
    </w:pPr>
    <w:rPr>
      <w:color w:val="000000"/>
      <w:szCs w:val="24"/>
    </w:rPr>
  </w:style>
  <w:style w:type="paragraph" w:styleId="2241" w:customStyle="1">
    <w:name w:val="xl97"/>
    <w:basedOn w:val="1280"/>
    <w:pPr>
      <w:ind w:firstLine="0"/>
      <w:jc w:val="center"/>
      <w:spacing w:before="100" w:beforeAutospacing="1" w:after="100" w:afterAutospacing="1"/>
    </w:pPr>
    <w:rPr>
      <w:b/>
      <w:bCs/>
      <w:color w:val="000000"/>
      <w:szCs w:val="24"/>
    </w:rPr>
  </w:style>
  <w:style w:type="numbering" w:styleId="2242" w:customStyle="1">
    <w:name w:val="Стиль51"/>
    <w:pPr>
      <w:numPr>
        <w:ilvl w:val="0"/>
        <w:numId w:val="112"/>
      </w:numPr>
    </w:pPr>
  </w:style>
  <w:style w:type="paragraph" w:styleId="2243" w:customStyle="1">
    <w:name w:val="OTR_Title_Date"/>
    <w:basedOn w:val="1280"/>
    <w:semiHidden/>
    <w:pPr>
      <w:jc w:val="center"/>
      <w:spacing w:before="60" w:after="120"/>
    </w:pPr>
    <w:rPr>
      <w:bCs/>
      <w:color w:val="000000"/>
      <w:sz w:val="16"/>
    </w:rPr>
  </w:style>
  <w:style w:type="paragraph" w:styleId="2244" w:customStyle="1">
    <w:name w:val="OTR_List_Mark"/>
    <w:basedOn w:val="1280"/>
    <w:link w:val="2248"/>
    <w:pPr>
      <w:numPr>
        <w:ilvl w:val="0"/>
        <w:numId w:val="113"/>
      </w:numPr>
      <w:spacing w:before="60" w:after="60"/>
    </w:pPr>
  </w:style>
  <w:style w:type="character" w:styleId="2245" w:customStyle="1">
    <w:name w:val="OTR_Sym_Italic"/>
    <w:qFormat/>
    <w:rPr>
      <w:i/>
    </w:rPr>
  </w:style>
  <w:style w:type="paragraph" w:styleId="2246" w:customStyle="1">
    <w:name w:val="OTR_TITUL_NAME"/>
    <w:basedOn w:val="1280"/>
    <w:pPr>
      <w:contextualSpacing/>
      <w:ind w:firstLine="0"/>
      <w:jc w:val="center"/>
      <w:spacing w:before="400" w:after="200"/>
    </w:pPr>
    <w:rPr>
      <w:b/>
      <w:sz w:val="32"/>
      <w:szCs w:val="28"/>
    </w:rPr>
  </w:style>
  <w:style w:type="paragraph" w:styleId="2247" w:customStyle="1">
    <w:name w:val="OTR_Name_Table"/>
    <w:basedOn w:val="1280"/>
    <w:link w:val="2249"/>
    <w:pPr>
      <w:ind w:firstLine="0"/>
      <w:keepNext/>
      <w:spacing w:before="120"/>
      <w:tabs>
        <w:tab w:val="num" w:pos="360" w:leader="none"/>
        <w:tab w:val="num" w:pos="1080" w:leader="none"/>
      </w:tabs>
    </w:pPr>
    <w:rPr>
      <w:b/>
    </w:rPr>
  </w:style>
  <w:style w:type="character" w:styleId="2248" w:customStyle="1">
    <w:name w:val="OTR_List_Mark Знак"/>
    <w:basedOn w:val="1290"/>
    <w:link w:val="2244"/>
    <w:rPr>
      <w:sz w:val="24"/>
    </w:rPr>
  </w:style>
  <w:style w:type="character" w:styleId="2249" w:customStyle="1">
    <w:name w:val="OTR_Name_Table Знак"/>
    <w:link w:val="2247"/>
    <w:rPr>
      <w:b/>
      <w:sz w:val="24"/>
    </w:rPr>
  </w:style>
  <w:style w:type="character" w:styleId="2250" w:customStyle="1">
    <w:name w:val="OTR_Table_List_Mark Знак"/>
    <w:link w:val="2206"/>
    <w:qFormat/>
    <w:rPr>
      <w:rFonts w:eastAsia="Calibri"/>
      <w:sz w:val="24"/>
      <w:lang w:eastAsia="ko-KR"/>
    </w:rPr>
  </w:style>
  <w:style w:type="paragraph" w:styleId="2251" w:customStyle="1">
    <w:name w:val="otr_table_normal"/>
    <w:pPr>
      <w:contextualSpacing/>
      <w:spacing w:before="120" w:after="120"/>
    </w:pPr>
    <w:rPr>
      <w:rFonts w:ascii="Arial" w:hAnsi="Arial"/>
      <w:szCs w:val="22"/>
    </w:rPr>
  </w:style>
  <w:style w:type="paragraph" w:styleId="2252" w:customStyle="1">
    <w:name w:val="Заголовок1_Раздел"/>
    <w:next w:val="1280"/>
    <w:pPr>
      <w:numPr>
        <w:ilvl w:val="0"/>
        <w:numId w:val="114"/>
      </w:numPr>
      <w:keepLines/>
      <w:keepNext/>
      <w:spacing w:before="360" w:after="360"/>
      <w:tabs>
        <w:tab w:val="left" w:pos="1134" w:leader="none"/>
        <w:tab w:val="left" w:pos="1440" w:leader="none"/>
        <w:tab w:val="left" w:pos="1797" w:leader="none"/>
      </w:tabs>
      <w:outlineLvl w:val="0"/>
    </w:pPr>
    <w:rPr>
      <w:rFonts w:ascii="Arial" w:hAnsi="Arial"/>
      <w:b/>
      <w:sz w:val="28"/>
      <w:szCs w:val="28"/>
    </w:rPr>
  </w:style>
  <w:style w:type="paragraph" w:styleId="2253" w:customStyle="1">
    <w:name w:val="Заголовок3_Пункт"/>
    <w:next w:val="1280"/>
    <w:pPr>
      <w:numPr>
        <w:ilvl w:val="2"/>
        <w:numId w:val="114"/>
      </w:numPr>
      <w:keepLines/>
      <w:keepNext/>
      <w:spacing w:before="240" w:after="240"/>
      <w:outlineLvl w:val="2"/>
    </w:pPr>
    <w:rPr>
      <w:rFonts w:ascii="Arial" w:hAnsi="Arial"/>
      <w:b/>
      <w:sz w:val="22"/>
      <w:szCs w:val="22"/>
    </w:rPr>
  </w:style>
  <w:style w:type="paragraph" w:styleId="2254" w:customStyle="1">
    <w:name w:val="Заголовок2_Подраздел"/>
    <w:next w:val="1280"/>
    <w:pPr>
      <w:numPr>
        <w:ilvl w:val="1"/>
        <w:numId w:val="114"/>
      </w:numPr>
      <w:keepLines/>
      <w:keepNext/>
      <w:spacing w:before="360" w:after="360"/>
      <w:outlineLvl w:val="1"/>
    </w:pPr>
    <w:rPr>
      <w:rFonts w:ascii="Arial" w:hAnsi="Arial"/>
      <w:b/>
      <w:sz w:val="24"/>
      <w:szCs w:val="24"/>
    </w:rPr>
  </w:style>
  <w:style w:type="paragraph" w:styleId="2255" w:customStyle="1">
    <w:name w:val="РазделПеречисление"/>
    <w:basedOn w:val="1280"/>
    <w:next w:val="1280"/>
    <w:pPr>
      <w:numPr>
        <w:ilvl w:val="4"/>
        <w:numId w:val="114"/>
      </w:numPr>
      <w:spacing w:before="20" w:after="120"/>
      <w:tabs>
        <w:tab w:val="left" w:pos="1200" w:leader="none"/>
      </w:tabs>
      <w:outlineLvl w:val="4"/>
    </w:pPr>
    <w:rPr>
      <w:rFonts w:ascii="Arial" w:hAnsi="Arial" w:cs="Arial"/>
      <w:color w:val="000000"/>
      <w:sz w:val="20"/>
    </w:rPr>
  </w:style>
  <w:style w:type="paragraph" w:styleId="2256" w:customStyle="1">
    <w:name w:val="Заголовок4_Подпункт"/>
    <w:basedOn w:val="1280"/>
    <w:next w:val="1280"/>
    <w:pPr>
      <w:numPr>
        <w:ilvl w:val="3"/>
        <w:numId w:val="114"/>
      </w:numPr>
      <w:keepLines/>
      <w:keepNext/>
      <w:spacing w:before="20" w:after="120"/>
      <w:tabs>
        <w:tab w:val="left" w:pos="1536" w:leader="none"/>
      </w:tabs>
      <w:outlineLvl w:val="3"/>
    </w:pPr>
    <w:rPr>
      <w:rFonts w:ascii="Arial" w:hAnsi="Arial" w:cs="Arial"/>
      <w:b/>
      <w:color w:val="000000"/>
      <w:sz w:val="20"/>
    </w:rPr>
  </w:style>
  <w:style w:type="paragraph" w:styleId="2257" w:customStyle="1">
    <w:name w:val="_ASFK_Table_Num"/>
    <w:basedOn w:val="1280"/>
    <w:semiHidden/>
    <w:pPr>
      <w:ind w:left="397" w:hanging="284"/>
      <w:spacing w:before="60" w:after="60"/>
      <w:tabs>
        <w:tab w:val="num" w:pos="113" w:leader="none"/>
      </w:tabs>
    </w:pPr>
    <w:rPr>
      <w:bCs/>
      <w:color w:val="000000"/>
      <w:sz w:val="22"/>
      <w:lang w:eastAsia="en-US"/>
    </w:rPr>
  </w:style>
  <w:style w:type="character" w:styleId="2258" w:customStyle="1">
    <w:name w:val="_ASFK_Normal Знак Знак"/>
    <w:semiHidden/>
    <w:rPr>
      <w:sz w:val="24"/>
    </w:rPr>
  </w:style>
  <w:style w:type="paragraph" w:styleId="2259" w:customStyle="1">
    <w:name w:val="OTR_Table_List_Num"/>
    <w:basedOn w:val="1280"/>
    <w:link w:val="2260"/>
    <w:qFormat/>
    <w:pPr>
      <w:ind w:left="284" w:hanging="284"/>
      <w:jc w:val="left"/>
      <w:spacing w:before="60" w:after="60"/>
      <w:tabs>
        <w:tab w:val="num" w:pos="284" w:leader="none"/>
      </w:tabs>
    </w:pPr>
  </w:style>
  <w:style w:type="character" w:styleId="2260" w:customStyle="1">
    <w:name w:val="OTR_Table_List_Num Знак"/>
    <w:link w:val="2259"/>
    <w:uiPriority w:val="99"/>
    <w:rPr>
      <w:sz w:val="24"/>
    </w:rPr>
  </w:style>
  <w:style w:type="paragraph" w:styleId="2261" w:customStyle="1">
    <w:name w:val="Табл. заголовок"/>
    <w:basedOn w:val="1280"/>
    <w:uiPriority w:val="99"/>
    <w:qFormat/>
    <w:pPr>
      <w:ind w:firstLine="0"/>
      <w:jc w:val="center"/>
      <w:spacing w:before="120"/>
    </w:pPr>
    <w:rPr>
      <w:rFonts w:eastAsia="SimSun"/>
      <w:b/>
      <w:sz w:val="20"/>
      <w:szCs w:val="24"/>
    </w:rPr>
  </w:style>
  <w:style w:type="paragraph" w:styleId="2262" w:customStyle="1">
    <w:name w:val="Source Code"/>
    <w:basedOn w:val="1280"/>
    <w:pPr>
      <w:ind w:firstLine="0"/>
      <w:jc w:val="left"/>
      <w:spacing w:before="120"/>
    </w:pPr>
    <w:rPr>
      <w:rFonts w:cs="Arial Unicode MS" w:eastAsiaTheme="minorEastAsia"/>
      <w:color w:val="000000"/>
      <w:sz w:val="20"/>
      <w:szCs w:val="24"/>
      <w:lang w:val="en-US" w:eastAsia="en-US"/>
    </w:rPr>
  </w:style>
  <w:style w:type="paragraph" w:styleId="2263" w:customStyle="1">
    <w:name w:val="rsvTablText"/>
    <w:basedOn w:val="1280"/>
    <w:link w:val="2264"/>
    <w:pPr>
      <w:ind w:firstLine="0"/>
      <w:spacing w:before="120" w:after="120"/>
    </w:pPr>
    <w:rPr>
      <w:rFonts w:eastAsiaTheme="minorHAnsi"/>
      <w:sz w:val="20"/>
      <w:szCs w:val="28"/>
      <w:lang w:eastAsia="en-US"/>
    </w:rPr>
  </w:style>
  <w:style w:type="character" w:styleId="2264" w:customStyle="1">
    <w:name w:val="rsvTablText Знак"/>
    <w:basedOn w:val="1290"/>
    <w:link w:val="2263"/>
    <w:rPr>
      <w:rFonts w:eastAsiaTheme="minorHAnsi"/>
      <w:szCs w:val="28"/>
      <w:lang w:eastAsia="en-US"/>
    </w:rPr>
  </w:style>
  <w:style w:type="paragraph" w:styleId="2265" w:customStyle="1">
    <w:name w:val="ConsPlusCell"/>
    <w:uiPriority w:val="99"/>
    <w:rPr>
      <w:rFonts w:ascii="Arial" w:hAnsi="Arial" w:eastAsia="Arial" w:cs="Arial"/>
      <w:lang w:eastAsia="ar-SA"/>
    </w:rPr>
  </w:style>
  <w:style w:type="character" w:styleId="2266" w:customStyle="1">
    <w:name w:val="Body Text Indent Char"/>
    <w:rPr>
      <w:rFonts w:cs="Times New Roman"/>
      <w:sz w:val="24"/>
      <w:szCs w:val="24"/>
    </w:rPr>
  </w:style>
  <w:style w:type="character" w:styleId="2267" w:customStyle="1">
    <w:name w:val="WW8Num36z1"/>
    <w:rPr>
      <w:rFonts w:ascii="Courier New" w:hAnsi="Courier New"/>
    </w:rPr>
  </w:style>
  <w:style w:type="paragraph" w:styleId="2268" w:customStyle="1">
    <w:name w:val="А Категория теста"/>
    <w:basedOn w:val="1280"/>
    <w:next w:val="1280"/>
    <w:pPr>
      <w:numPr>
        <w:ilvl w:val="0"/>
        <w:numId w:val="115"/>
      </w:numPr>
      <w:ind w:left="1209" w:hanging="244"/>
      <w:spacing w:before="120" w:after="120"/>
      <w:tabs>
        <w:tab w:val="num" w:pos="0" w:leader="none"/>
        <w:tab w:val="num" w:pos="340" w:leader="none"/>
        <w:tab w:val="num" w:pos="420" w:leader="none"/>
        <w:tab w:val="num" w:pos="720" w:leader="none"/>
        <w:tab w:val="num" w:pos="964" w:leader="none"/>
        <w:tab w:val="num" w:pos="1021" w:leader="none"/>
        <w:tab w:val="num" w:pos="1069" w:leader="none"/>
        <w:tab w:val="num" w:pos="1129" w:leader="none"/>
        <w:tab w:val="num" w:pos="1209" w:leader="none"/>
        <w:tab w:val="num" w:pos="1440" w:leader="none"/>
        <w:tab w:val="num" w:pos="1501" w:leader="none"/>
        <w:tab w:val="num" w:pos="2329" w:leader="none"/>
        <w:tab w:val="num" w:pos="2869" w:leader="none"/>
      </w:tabs>
      <w:outlineLvl w:val="1"/>
    </w:pPr>
    <w:rPr>
      <w:rFonts w:ascii="Arial" w:hAnsi="Arial" w:cs="Arial"/>
      <w:b/>
      <w:bCs/>
      <w:color w:val="000000"/>
      <w:szCs w:val="28"/>
      <w:lang w:eastAsia="en-US"/>
    </w:rPr>
  </w:style>
  <w:style w:type="paragraph" w:styleId="2269" w:customStyle="1">
    <w:name w:val="OTR_req2"/>
    <w:basedOn w:val="1280"/>
    <w:pPr>
      <w:numPr>
        <w:ilvl w:val="4"/>
        <w:numId w:val="116"/>
      </w:numPr>
      <w:ind w:left="1022" w:hanging="576"/>
      <w:keepNext/>
      <w:spacing w:before="120" w:after="120"/>
      <w:tabs>
        <w:tab w:val="left" w:pos="737" w:leader="none"/>
        <w:tab w:val="left" w:pos="765" w:leader="none"/>
        <w:tab w:val="num" w:pos="1022" w:leader="none"/>
        <w:tab w:val="clear" w:pos="1144" w:leader="none"/>
      </w:tabs>
    </w:pPr>
    <w:rPr>
      <w:rFonts w:ascii="Arial" w:hAnsi="Arial" w:cs="Arial"/>
      <w:b/>
      <w:bCs/>
      <w:szCs w:val="24"/>
    </w:rPr>
  </w:style>
  <w:style w:type="paragraph" w:styleId="2270" w:customStyle="1">
    <w:name w:val="Body Single"/>
    <w:basedOn w:val="1280"/>
    <w:pPr>
      <w:numPr>
        <w:ilvl w:val="0"/>
        <w:numId w:val="116"/>
      </w:numPr>
      <w:ind w:left="0" w:firstLine="720"/>
      <w:spacing w:before="120" w:after="120"/>
      <w:tabs>
        <w:tab w:val="clear" w:pos="698" w:leader="none"/>
        <w:tab w:val="left" w:pos="720" w:leader="none"/>
        <w:tab w:val="left" w:pos="1440" w:leader="none"/>
        <w:tab w:val="left" w:pos="2304" w:leader="none"/>
      </w:tabs>
    </w:pPr>
    <w:rPr>
      <w:szCs w:val="28"/>
      <w:lang w:val="en-GB" w:eastAsia="en-US"/>
    </w:rPr>
  </w:style>
  <w:style w:type="paragraph" w:styleId="2271" w:customStyle="1">
    <w:name w:val="head74charcharcharcharchar"/>
    <w:basedOn w:val="1280"/>
    <w:pPr>
      <w:numPr>
        <w:ilvl w:val="3"/>
        <w:numId w:val="117"/>
      </w:numPr>
      <w:keepNext/>
      <w:spacing w:after="120"/>
    </w:pPr>
    <w:rPr>
      <w:b/>
      <w:bCs/>
      <w:sz w:val="22"/>
      <w:szCs w:val="22"/>
    </w:rPr>
  </w:style>
  <w:style w:type="paragraph" w:styleId="2272" w:customStyle="1">
    <w:name w:val="Титульный лист - текст"/>
    <w:link w:val="2273"/>
    <w:rPr>
      <w:sz w:val="28"/>
    </w:rPr>
  </w:style>
  <w:style w:type="character" w:styleId="2273" w:customStyle="1">
    <w:name w:val="Титульный лист - текст Знак"/>
    <w:link w:val="2272"/>
    <w:rPr>
      <w:sz w:val="28"/>
    </w:rPr>
  </w:style>
  <w:style w:type="character" w:styleId="2274">
    <w:name w:val="Placeholder Text"/>
    <w:basedOn w:val="1290"/>
    <w:uiPriority w:val="99"/>
    <w:semiHidden/>
    <w:rPr>
      <w:color w:val="808080"/>
    </w:rPr>
  </w:style>
  <w:style w:type="paragraph" w:styleId="2275" w:customStyle="1">
    <w:name w:val="ТКП ТС Заголовок 3 го уровня"/>
    <w:basedOn w:val="1280"/>
    <w:next w:val="1280"/>
    <w:qFormat/>
    <w:pPr>
      <w:numPr>
        <w:ilvl w:val="0"/>
        <w:numId w:val="118"/>
      </w:numPr>
      <w:ind w:left="1080" w:right="57" w:firstLine="198"/>
      <w:keepNext/>
      <w:spacing w:before="120" w:after="120"/>
      <w:tabs>
        <w:tab w:val="num" w:pos="0" w:leader="none"/>
        <w:tab w:val="num" w:pos="417" w:leader="none"/>
        <w:tab w:val="num" w:pos="1080" w:leader="none"/>
        <w:tab w:val="num" w:pos="1145" w:leader="none"/>
      </w:tabs>
    </w:pPr>
    <w:rPr>
      <w:b/>
      <w:bCs/>
      <w:szCs w:val="24"/>
    </w:rPr>
  </w:style>
  <w:style w:type="paragraph" w:styleId="2276" w:customStyle="1">
    <w:name w:val="Заголовок раздела"/>
    <w:basedOn w:val="1281"/>
    <w:next w:val="1441"/>
    <w:pPr>
      <w:numPr>
        <w:ilvl w:val="0"/>
        <w:numId w:val="0"/>
      </w:numPr>
      <w:contextualSpacing w:val="0"/>
      <w:keepLines/>
      <w:spacing w:before="60" w:after="120"/>
      <w:widowControl w:val="off"/>
      <w:tabs>
        <w:tab w:val="left" w:pos="1021" w:leader="none"/>
      </w:tabs>
    </w:pPr>
    <w:rPr>
      <w:rFonts w:ascii="Arial" w:hAnsi="Arial"/>
      <w:bCs/>
      <w:smallCaps/>
      <w:sz w:val="28"/>
      <w:szCs w:val="20"/>
    </w:rPr>
  </w:style>
  <w:style w:type="paragraph" w:styleId="2277" w:customStyle="1">
    <w:name w:val="Заголовок 1 ПРИЛОЖЕНИЕ"/>
    <w:basedOn w:val="1281"/>
    <w:next w:val="1282"/>
    <w:qFormat/>
    <w:pPr>
      <w:numPr>
        <w:ilvl w:val="0"/>
        <w:numId w:val="119"/>
      </w:numPr>
      <w:jc w:val="left"/>
      <w:pageBreakBefore w:val="0"/>
      <w:spacing w:after="120"/>
    </w:pPr>
    <w:rPr>
      <w:rFonts w:ascii="Times New Roman Полужирный" w:hAnsi="Times New Roman Полужирный"/>
      <w:caps w:val="0"/>
    </w:rPr>
  </w:style>
  <w:style w:type="paragraph" w:styleId="2278" w:customStyle="1">
    <w:name w:val="Заголовок 2 ПРИЛОЖЕНИЕ"/>
    <w:basedOn w:val="1282"/>
    <w:next w:val="1280"/>
    <w:qFormat/>
    <w:pPr>
      <w:numPr>
        <w:ilvl w:val="0"/>
        <w:numId w:val="120"/>
      </w:numPr>
      <w:spacing w:after="120"/>
      <w:tabs>
        <w:tab w:val="left" w:pos="284" w:leader="none"/>
      </w:tabs>
    </w:pPr>
    <w:rPr>
      <w:rFonts w:ascii="Times New Roman Полужирный" w:hAnsi="Times New Roman Полужирный"/>
      <w:sz w:val="28"/>
    </w:rPr>
  </w:style>
  <w:style w:type="paragraph" w:styleId="2279" w:customStyle="1">
    <w:name w:val="Заголовок 3 ПРИЛОЖЕНИЕ"/>
    <w:basedOn w:val="2278"/>
    <w:next w:val="1280"/>
    <w:qFormat/>
    <w:pPr>
      <w:numPr>
        <w:ilvl w:val="0"/>
        <w:numId w:val="122"/>
      </w:numPr>
    </w:pPr>
  </w:style>
  <w:style w:type="character" w:styleId="2280" w:customStyle="1">
    <w:name w:val="Основной текст с отступом 2 Знак"/>
    <w:basedOn w:val="1290"/>
    <w:link w:val="1336"/>
    <w:semiHidden/>
    <w:rPr>
      <w:b/>
    </w:rPr>
  </w:style>
  <w:style w:type="character" w:styleId="2281" w:customStyle="1">
    <w:name w:val="Основной текст 3 Знак"/>
    <w:basedOn w:val="1290"/>
    <w:link w:val="1339"/>
    <w:semiHidden/>
    <w:rPr>
      <w:sz w:val="16"/>
      <w:szCs w:val="16"/>
    </w:rPr>
  </w:style>
  <w:style w:type="character" w:styleId="2282" w:customStyle="1">
    <w:name w:val="Текст примечания Знак1"/>
    <w:basedOn w:val="1290"/>
    <w:uiPriority w:val="99"/>
    <w:semiHidden/>
    <w:rPr>
      <w:rFonts w:ascii="Times New Roman" w:hAnsi="Times New Roman" w:eastAsia="Times New Roman" w:cs="Times New Roman"/>
      <w:sz w:val="20"/>
      <w:szCs w:val="20"/>
      <w:lang w:eastAsia="ru-RU"/>
    </w:rPr>
  </w:style>
  <w:style w:type="character" w:styleId="2283" w:customStyle="1">
    <w:name w:val="Основной текст с отступом 3 Знак"/>
    <w:basedOn w:val="1290"/>
    <w:link w:val="1356"/>
    <w:semiHidden/>
    <w:rPr>
      <w:sz w:val="16"/>
      <w:szCs w:val="16"/>
    </w:rPr>
  </w:style>
  <w:style w:type="character" w:styleId="2284" w:customStyle="1">
    <w:name w:val="Приветствие Знак"/>
    <w:basedOn w:val="1290"/>
    <w:link w:val="1361"/>
    <w:semiHidden/>
    <w:rPr>
      <w:sz w:val="24"/>
    </w:rPr>
  </w:style>
  <w:style w:type="character" w:styleId="2285" w:customStyle="1">
    <w:name w:val="Электронная подпись Знак"/>
    <w:basedOn w:val="1290"/>
    <w:link w:val="1408"/>
    <w:semiHidden/>
    <w:rPr>
      <w:sz w:val="24"/>
    </w:rPr>
  </w:style>
  <w:style w:type="character" w:styleId="2286" w:customStyle="1">
    <w:name w:val="Подпись Знак"/>
    <w:basedOn w:val="1290"/>
    <w:link w:val="1409"/>
    <w:semiHidden/>
    <w:rPr>
      <w:sz w:val="24"/>
    </w:rPr>
  </w:style>
  <w:style w:type="character" w:styleId="2287" w:customStyle="1">
    <w:name w:val="Дата Знак"/>
    <w:basedOn w:val="1290"/>
    <w:link w:val="1429"/>
    <w:semiHidden/>
    <w:rPr>
      <w:sz w:val="24"/>
    </w:rPr>
  </w:style>
  <w:style w:type="character" w:styleId="2288" w:customStyle="1">
    <w:name w:val="Заголовок записки Знак"/>
    <w:basedOn w:val="1290"/>
    <w:link w:val="1430"/>
    <w:semiHidden/>
    <w:rPr>
      <w:sz w:val="24"/>
    </w:rPr>
  </w:style>
  <w:style w:type="character" w:styleId="2289" w:customStyle="1">
    <w:name w:val="Красная строка Знак"/>
    <w:basedOn w:val="1554"/>
    <w:link w:val="1442"/>
    <w:semiHidden/>
    <w:rPr>
      <w:sz w:val="24"/>
    </w:rPr>
  </w:style>
  <w:style w:type="character" w:styleId="2290" w:customStyle="1">
    <w:name w:val="Красная строка 2 Знак"/>
    <w:basedOn w:val="1903"/>
    <w:link w:val="1443"/>
    <w:semiHidden/>
    <w:rPr>
      <w:sz w:val="24"/>
      <w:szCs w:val="24"/>
    </w:rPr>
  </w:style>
  <w:style w:type="character" w:styleId="2291" w:customStyle="1">
    <w:name w:val="Заголовок Знак1"/>
    <w:basedOn w:val="1290"/>
    <w:link w:val="1448"/>
    <w:rPr>
      <w:rFonts w:ascii="Arial" w:hAnsi="Arial" w:cs="Arial"/>
      <w:b/>
      <w:bCs/>
      <w:sz w:val="32"/>
      <w:szCs w:val="32"/>
    </w:rPr>
  </w:style>
  <w:style w:type="paragraph" w:styleId="2292" w:customStyle="1">
    <w:name w:val="_ASFK_List_num2"/>
    <w:semiHidden/>
    <w:pPr>
      <w:numPr>
        <w:ilvl w:val="1"/>
        <w:numId w:val="121"/>
      </w:numPr>
      <w:spacing w:before="120" w:after="120"/>
    </w:pPr>
    <w:rPr>
      <w:sz w:val="24"/>
      <w:szCs w:val="24"/>
    </w:rPr>
  </w:style>
  <w:style w:type="paragraph" w:styleId="2293" w:customStyle="1">
    <w:name w:val="Основной текст Без КраснойУже"/>
    <w:basedOn w:val="1280"/>
    <w:pPr>
      <w:ind w:firstLine="0"/>
    </w:pPr>
    <w:rPr>
      <w:sz w:val="26"/>
    </w:rPr>
  </w:style>
  <w:style w:type="paragraph" w:styleId="2294" w:customStyle="1">
    <w:name w:val="Table Cell J"/>
    <w:basedOn w:val="1280"/>
    <w:pPr>
      <w:ind w:firstLine="0"/>
      <w:widowControl w:val="off"/>
    </w:pPr>
  </w:style>
  <w:style w:type="paragraph" w:styleId="2295" w:customStyle="1">
    <w:name w:val="Table Heading"/>
    <w:basedOn w:val="1280"/>
    <w:pPr>
      <w:ind w:firstLine="0"/>
      <w:jc w:val="center"/>
      <w:keepLines/>
    </w:pPr>
    <w:rPr>
      <w:b/>
    </w:rPr>
  </w:style>
  <w:style w:type="paragraph" w:styleId="2296" w:customStyle="1">
    <w:name w:val="Заголовок 2_Приложение"/>
    <w:basedOn w:val="1282"/>
    <w:next w:val="1441"/>
    <w:qFormat/>
    <w:pPr>
      <w:numPr>
        <w:ilvl w:val="0"/>
        <w:numId w:val="123"/>
      </w:numPr>
      <w:contextualSpacing w:val="0"/>
      <w:ind w:left="0" w:right="567" w:firstLine="0"/>
      <w:spacing w:after="120"/>
      <w:tabs>
        <w:tab w:val="num" w:pos="360" w:leader="none"/>
      </w:tabs>
    </w:pPr>
    <w:rPr>
      <w:rFonts w:ascii="Times New Roman Полужирный" w:hAnsi="Times New Roman Полужирный" w:cs="Times New Roman" w:eastAsiaTheme="minorEastAsia"/>
      <w:bCs w:val="0"/>
      <w:iCs w:val="0"/>
      <w:szCs w:val="20"/>
    </w:rPr>
  </w:style>
  <w:style w:type="character" w:styleId="2297" w:customStyle="1">
    <w:name w:val="Перекрестная ссылка Знак"/>
    <w:basedOn w:val="1554"/>
    <w:rPr>
      <w:i/>
      <w:color w:val="0000ff"/>
      <w:sz w:val="24"/>
      <w:szCs w:val="24"/>
      <w:u w:val="single"/>
    </w:rPr>
  </w:style>
  <w:style w:type="paragraph" w:styleId="2298" w:customStyle="1">
    <w:name w:val="Заголовок 3_Приложение"/>
    <w:basedOn w:val="2296"/>
    <w:next w:val="1441"/>
    <w:qFormat/>
    <w:pPr>
      <w:numPr>
        <w:ilvl w:val="2"/>
      </w:numPr>
      <w:tabs>
        <w:tab w:val="num" w:pos="360" w:leader="none"/>
      </w:tabs>
    </w:pPr>
    <w:rPr>
      <w:sz w:val="28"/>
    </w:rPr>
  </w:style>
  <w:style w:type="paragraph" w:styleId="2299" w:customStyle="1">
    <w:name w:val="Заголовок 4 _ Приложение"/>
    <w:basedOn w:val="2298"/>
    <w:next w:val="1441"/>
    <w:qFormat/>
    <w:pPr>
      <w:numPr>
        <w:ilvl w:val="3"/>
      </w:numPr>
      <w:tabs>
        <w:tab w:val="num" w:pos="360" w:leader="none"/>
      </w:tabs>
      <w:outlineLvl w:val="3"/>
    </w:pPr>
    <w:rPr>
      <w:rFonts w:ascii="Times New Roman" w:hAnsi="Times New Roman"/>
      <w:sz w:val="24"/>
      <w:szCs w:val="28"/>
      <w:lang w:val="en-US"/>
    </w:rPr>
  </w:style>
  <w:style w:type="paragraph" w:styleId="2300" w:customStyle="1">
    <w:name w:val="Заголовок 5 _ Приложение"/>
    <w:basedOn w:val="2299"/>
    <w:next w:val="1441"/>
    <w:qFormat/>
    <w:pPr>
      <w:numPr>
        <w:ilvl w:val="4"/>
      </w:numPr>
      <w:tabs>
        <w:tab w:val="num" w:pos="360" w:leader="none"/>
      </w:tabs>
      <w:outlineLvl w:val="4"/>
    </w:pPr>
  </w:style>
  <w:style w:type="paragraph" w:styleId="2301" w:customStyle="1">
    <w:name w:val="_GOST_Table_List_Num_3"/>
    <w:basedOn w:val="1475"/>
    <w:pPr>
      <w:numPr>
        <w:ilvl w:val="2"/>
      </w:numPr>
    </w:pPr>
  </w:style>
  <w:style w:type="paragraph" w:styleId="2302" w:customStyle="1">
    <w:name w:val="_GOST_Table_List_Num_4"/>
    <w:basedOn w:val="2301"/>
    <w:qFormat/>
    <w:pPr>
      <w:numPr>
        <w:ilvl w:val="3"/>
      </w:numPr>
    </w:pPr>
  </w:style>
  <w:style w:type="paragraph" w:styleId="2303" w:customStyle="1">
    <w:name w:val="_GOST_Table_List_Num_5"/>
    <w:basedOn w:val="2302"/>
    <w:qFormat/>
    <w:pPr>
      <w:numPr>
        <w:ilvl w:val="4"/>
      </w:numPr>
    </w:pPr>
  </w:style>
  <w:style w:type="paragraph" w:styleId="2304" w:customStyle="1">
    <w:name w:val="_GOST_Ta6le_List_Num_3"/>
    <w:basedOn w:val="1280"/>
    <w:pPr>
      <w:ind w:left="681" w:firstLine="0"/>
      <w:jc w:val="left"/>
      <w:tabs>
        <w:tab w:val="num" w:pos="1985" w:leader="none"/>
      </w:tabs>
    </w:pPr>
    <w:rPr>
      <w:sz w:val="22"/>
    </w:rPr>
  </w:style>
  <w:style w:type="paragraph" w:styleId="2305" w:customStyle="1">
    <w:name w:val="_GOST_Table_List_Num_6"/>
    <w:basedOn w:val="2303"/>
    <w:qFormat/>
    <w:pPr>
      <w:numPr>
        <w:ilvl w:val="5"/>
      </w:numPr>
    </w:pPr>
  </w:style>
  <w:style w:type="paragraph" w:styleId="2306" w:customStyle="1">
    <w:name w:val="_GOST_Table_List_Num_7"/>
    <w:basedOn w:val="2305"/>
    <w:qFormat/>
    <w:pPr>
      <w:numPr>
        <w:ilvl w:val="6"/>
      </w:numPr>
    </w:pPr>
  </w:style>
  <w:style w:type="paragraph" w:styleId="2307" w:customStyle="1">
    <w:name w:val="_GOST_Titul_head"/>
    <w:basedOn w:val="1280"/>
    <w:pPr>
      <w:jc w:val="center"/>
      <w:pBdr>
        <w:bottom w:val="single" w:color="000000" w:sz="12" w:space="1"/>
      </w:pBdr>
    </w:pPr>
    <w:rPr>
      <w:rFonts w:ascii="Arial" w:hAnsi="Arial"/>
      <w:b/>
      <w:bCs/>
    </w:rPr>
  </w:style>
  <w:style w:type="character" w:styleId="2308" w:customStyle="1">
    <w:name w:val="Неразрешенное упоминание2"/>
    <w:basedOn w:val="1290"/>
    <w:uiPriority w:val="99"/>
    <w:semiHidden/>
    <w:unhideWhenUsed/>
    <w:rPr>
      <w:color w:val="605e5c"/>
      <w:shd w:val="clear" w:color="auto" w:fill="e1dfdd"/>
    </w:rPr>
  </w:style>
  <w:style w:type="character" w:styleId="2309" w:customStyle="1">
    <w:name w:val="a-reqrequired"/>
    <w:basedOn w:val="1290"/>
  </w:style>
  <w:style w:type="paragraph" w:styleId="2310" w:customStyle="1">
    <w:name w:val="_GOST_Table_Num_2"/>
    <w:basedOn w:val="1320"/>
    <w:pPr>
      <w:numPr>
        <w:ilvl w:val="1"/>
      </w:numPr>
    </w:pPr>
  </w:style>
  <w:style w:type="paragraph" w:styleId="2311" w:customStyle="1">
    <w:name w:val="_GOST_Table_Num_3"/>
    <w:basedOn w:val="2310"/>
    <w:qFormat/>
    <w:pPr>
      <w:numPr>
        <w:ilvl w:val="2"/>
      </w:numPr>
    </w:pPr>
  </w:style>
  <w:style w:type="paragraph" w:styleId="2312" w:customStyle="1">
    <w:name w:val="_GOST_Table_Num_4"/>
    <w:basedOn w:val="2311"/>
    <w:pPr>
      <w:numPr>
        <w:ilvl w:val="3"/>
      </w:numPr>
    </w:pPr>
  </w:style>
  <w:style w:type="paragraph" w:styleId="2313" w:customStyle="1">
    <w:name w:val="_GOST_Table_Num_5"/>
    <w:basedOn w:val="2312"/>
    <w:qFormat/>
    <w:pPr>
      <w:numPr>
        <w:ilvl w:val="4"/>
      </w:numPr>
    </w:pPr>
  </w:style>
  <w:style w:type="paragraph" w:styleId="2314" w:customStyle="1">
    <w:name w:val="_GOST_Table_Num_6"/>
    <w:basedOn w:val="2313"/>
    <w:pPr>
      <w:numPr>
        <w:ilvl w:val="5"/>
      </w:numPr>
    </w:pPr>
  </w:style>
  <w:style w:type="paragraph" w:styleId="2315" w:customStyle="1">
    <w:name w:val="_GOST_Table_Num_7"/>
    <w:basedOn w:val="2314"/>
    <w:qFormat/>
    <w:pPr>
      <w:numPr>
        <w:ilvl w:val="6"/>
      </w:numPr>
    </w:pPr>
  </w:style>
  <w:style w:type="character" w:styleId="2316" w:customStyle="1">
    <w:name w:val="processresultcaptionlabel"/>
    <w:basedOn w:val="1290"/>
  </w:style>
  <w:style w:type="character" w:styleId="2317" w:customStyle="1">
    <w:name w:val="_GOST_Normal_Without Знак"/>
    <w:link w:val="1306"/>
    <w:rPr>
      <w:sz w:val="24"/>
    </w:rPr>
  </w:style>
  <w:style w:type="character" w:styleId="2318" w:customStyle="1">
    <w:name w:val="_GOST_Table_Head Знак"/>
    <w:link w:val="1317"/>
    <w:rPr>
      <w:b/>
      <w:bCs/>
      <w:sz w:val="22"/>
    </w:rPr>
  </w:style>
  <w:style w:type="paragraph" w:styleId="2319" w:customStyle="1">
    <w:name w:val="_ASFK_Titul_0"/>
    <w:pPr>
      <w:jc w:val="center"/>
    </w:pPr>
    <w:rPr>
      <w:sz w:val="28"/>
      <w:szCs w:val="28"/>
    </w:rPr>
  </w:style>
  <w:style w:type="character" w:styleId="2320" w:customStyle="1">
    <w:name w:val="Неразрешенное упоминание3"/>
    <w:basedOn w:val="1290"/>
    <w:uiPriority w:val="99"/>
    <w:semiHidden/>
    <w:unhideWhenUsed/>
    <w:rPr>
      <w:color w:val="605e5c"/>
      <w:shd w:val="clear" w:color="auto" w:fill="e1dfdd"/>
    </w:rPr>
  </w:style>
  <w:style w:type="character" w:styleId="2321" w:customStyle="1">
    <w:name w:val="label"/>
    <w:basedOn w:val="1290"/>
  </w:style>
  <w:style w:type="character" w:styleId="2322" w:customStyle="1">
    <w:name w:val="Неразрешенное упоминание4"/>
    <w:basedOn w:val="1290"/>
    <w:uiPriority w:val="99"/>
    <w:semiHidden/>
    <w:unhideWhenUsed/>
    <w:rPr>
      <w:color w:val="605e5c"/>
      <w:shd w:val="clear" w:color="auto" w:fill="e1dfdd"/>
    </w:rPr>
  </w:style>
  <w:style w:type="character" w:styleId="2323" w:customStyle="1">
    <w:name w:val="_GOST_List_mark1 Знак"/>
    <w:basedOn w:val="1290"/>
    <w:link w:val="1296"/>
    <w:rPr>
      <w:sz w:val="24"/>
    </w:rPr>
  </w:style>
  <w:style w:type="character" w:styleId="2324" w:customStyle="1">
    <w:name w:val="_GOST_Table_List_Mark_1 Знак"/>
    <w:link w:val="1318"/>
    <w:rPr>
      <w:sz w:val="22"/>
    </w:rPr>
  </w:style>
  <w:style w:type="paragraph" w:styleId="2325" w:customStyle="1">
    <w:name w:val="StGen0"/>
    <w:basedOn w:val="1280"/>
    <w:next w:val="1448"/>
    <w:qFormat/>
    <w:pPr>
      <w:jc w:val="center"/>
      <w:spacing w:before="240" w:after="60"/>
      <w:outlineLvl w:val="0"/>
    </w:pPr>
    <w:rPr>
      <w:rFonts w:ascii="Arial" w:hAnsi="Arial" w:cs="Arial"/>
      <w:b/>
      <w:bCs/>
      <w:sz w:val="32"/>
      <w:szCs w:val="32"/>
    </w:rPr>
  </w:style>
  <w:style w:type="paragraph" w:styleId="2326" w:customStyle="1">
    <w:name w:val="_GOST_Titul_footer"/>
    <w:pPr>
      <w:jc w:val="center"/>
    </w:pPr>
    <w:rPr>
      <w:color w:val="292929"/>
      <w:sz w:val="28"/>
    </w:rPr>
  </w:style>
  <w:style w:type="paragraph" w:styleId="2327" w:customStyle="1">
    <w:name w:val="_GOST_Titul_header"/>
    <w:pPr>
      <w:jc w:val="center"/>
    </w:pPr>
    <w:rPr>
      <w:b/>
      <w:caps/>
      <w:color w:val="404040"/>
      <w:sz w:val="24"/>
    </w:rPr>
  </w:style>
  <w:style w:type="character" w:styleId="2328" w:customStyle="1">
    <w:name w:val="_GOST_Name_Table Знак"/>
    <w:link w:val="1304"/>
    <w:rPr>
      <w:b/>
      <w:sz w:val="24"/>
    </w:rPr>
  </w:style>
  <w:style w:type="paragraph" w:styleId="2329" w:customStyle="1">
    <w:name w:val="OTR_Table_Norm"/>
    <w:basedOn w:val="1280"/>
    <w:qFormat/>
    <w:pPr>
      <w:ind w:firstLine="0"/>
      <w:spacing w:before="60" w:after="60"/>
    </w:pPr>
  </w:style>
  <w:style w:type="character" w:styleId="2330" w:customStyle="1">
    <w:name w:val="Неразрешенное упоминание5"/>
    <w:basedOn w:val="1290"/>
    <w:uiPriority w:val="99"/>
    <w:semiHidden/>
    <w:unhideWhenUsed/>
    <w:rPr>
      <w:color w:val="605e5c"/>
      <w:shd w:val="clear" w:color="auto" w:fill="e1dfdd"/>
    </w:rPr>
  </w:style>
  <w:style w:type="character" w:styleId="2331" w:customStyle="1">
    <w:name w:val="Неразрешенное упоминание6"/>
    <w:basedOn w:val="1290"/>
    <w:uiPriority w:val="99"/>
    <w:semiHidden/>
    <w:unhideWhenUsed/>
    <w:rPr>
      <w:color w:val="605e5c"/>
      <w:shd w:val="clear" w:color="auto" w:fill="e1dfdd"/>
    </w:rPr>
  </w:style>
  <w:style w:type="character" w:styleId="2332" w:customStyle="1">
    <w:name w:val="Неразрешенное упоминание7"/>
    <w:basedOn w:val="1290"/>
    <w:uiPriority w:val="99"/>
    <w:semiHidden/>
    <w:unhideWhenUsed/>
    <w:rPr>
      <w:color w:val="605e5c"/>
      <w:shd w:val="clear" w:color="auto" w:fill="e1dfdd"/>
    </w:rPr>
  </w:style>
  <w:style w:type="character" w:styleId="2333" w:customStyle="1">
    <w:name w:val="Неразрешенное упоминание8"/>
    <w:basedOn w:val="1290"/>
    <w:uiPriority w:val="99"/>
    <w:semiHidden/>
    <w:unhideWhenUsed/>
    <w:rPr>
      <w:color w:val="605e5c"/>
      <w:shd w:val="clear" w:color="auto" w:fill="e1dfdd"/>
    </w:rPr>
  </w:style>
  <w:style w:type="character" w:styleId="2334" w:customStyle="1">
    <w:name w:val="_OTR_Normal_Without Знак"/>
    <w:basedOn w:val="2336"/>
    <w:link w:val="2337"/>
    <w:rPr>
      <w:sz w:val="24"/>
    </w:rPr>
  </w:style>
  <w:style w:type="paragraph" w:styleId="2335" w:customStyle="1">
    <w:name w:val="_OTR_Normal"/>
    <w:link w:val="2336"/>
    <w:pPr>
      <w:contextualSpacing/>
      <w:ind w:firstLine="567"/>
      <w:jc w:val="both"/>
      <w:spacing w:before="120" w:after="120"/>
    </w:pPr>
    <w:rPr>
      <w:sz w:val="24"/>
    </w:rPr>
  </w:style>
  <w:style w:type="character" w:styleId="2336" w:customStyle="1">
    <w:name w:val="_OTR_Normal Знак"/>
    <w:basedOn w:val="1290"/>
    <w:link w:val="2335"/>
    <w:rPr>
      <w:sz w:val="24"/>
    </w:rPr>
  </w:style>
  <w:style w:type="paragraph" w:styleId="2337" w:customStyle="1">
    <w:name w:val="_OTR_Normal_Without"/>
    <w:basedOn w:val="2335"/>
    <w:link w:val="2334"/>
    <w:pPr>
      <w:keepNext/>
    </w:pPr>
  </w:style>
  <w:style w:type="paragraph" w:styleId="2338" w:customStyle="1">
    <w:name w:val="StGen1"/>
    <w:basedOn w:val="1280"/>
    <w:next w:val="1448"/>
    <w:qFormat/>
    <w:pPr>
      <w:jc w:val="center"/>
      <w:spacing w:before="240" w:after="60"/>
      <w:outlineLvl w:val="0"/>
    </w:pPr>
    <w:rPr>
      <w:rFonts w:ascii="Arial" w:hAnsi="Arial" w:cs="Arial"/>
      <w:b/>
      <w:bCs/>
      <w:sz w:val="32"/>
      <w:szCs w:val="32"/>
    </w:rPr>
  </w:style>
  <w:style w:type="character" w:styleId="2339">
    <w:name w:val="Unresolved Mention"/>
    <w:basedOn w:val="1290"/>
    <w:uiPriority w:val="99"/>
    <w:semiHidden/>
    <w:unhideWhenUsed/>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footer" Target="footer3.xml" /><Relationship Id="rId16" Type="http://schemas.openxmlformats.org/officeDocument/2006/relationships/customXml" Target="../customXml/item1.xml" /><Relationship Id="rId17" Type="http://schemas.openxmlformats.org/officeDocument/2006/relationships/hyperlink" Target="https://roskazna.gov.ru/gis/ehlektronnyj-byudzhet/podklyuchenie-k-sisteme/" TargetMode="External"/><Relationship Id="rId18" Type="http://schemas.openxmlformats.org/officeDocument/2006/relationships/image" Target="media/image1.png"/><Relationship Id="rId19" Type="http://schemas.openxmlformats.org/officeDocument/2006/relationships/image" Target="media/image2.png"/><Relationship Id="rId20" Type="http://schemas.openxmlformats.org/officeDocument/2006/relationships/hyperlink" Target="https://eb.cert.roskazna.ru" TargetMode="External"/><Relationship Id="rId21" Type="http://schemas.openxmlformats.org/officeDocument/2006/relationships/image" Target="media/image3.jpg"/><Relationship Id="rId22" Type="http://schemas.openxmlformats.org/officeDocument/2006/relationships/image" Target="media/image4.png"/><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png"/><Relationship Id="rId45" Type="http://schemas.openxmlformats.org/officeDocument/2006/relationships/image" Target="media/image27.png"/><Relationship Id="rId46" Type="http://schemas.openxmlformats.org/officeDocument/2006/relationships/image" Target="media/image28.png"/><Relationship Id="rId47" Type="http://schemas.openxmlformats.org/officeDocument/2006/relationships/image" Target="media/image29.png"/><Relationship Id="rId48" Type="http://schemas.openxmlformats.org/officeDocument/2006/relationships/image" Target="media/image30.png"/><Relationship Id="rId49" Type="http://schemas.openxmlformats.org/officeDocument/2006/relationships/image" Target="media/image31.png"/><Relationship Id="rId50" Type="http://schemas.openxmlformats.org/officeDocument/2006/relationships/image" Target="media/image32.png"/><Relationship Id="rId51" Type="http://schemas.openxmlformats.org/officeDocument/2006/relationships/image" Target="media/image33.png"/><Relationship Id="rId52" Type="http://schemas.openxmlformats.org/officeDocument/2006/relationships/image" Target="media/image34.png"/><Relationship Id="rId53" Type="http://schemas.openxmlformats.org/officeDocument/2006/relationships/image" Target="media/image35.png"/><Relationship Id="rId54" Type="http://schemas.openxmlformats.org/officeDocument/2006/relationships/image" Target="media/image36.png"/><Relationship Id="rId55" Type="http://schemas.openxmlformats.org/officeDocument/2006/relationships/image" Target="media/image37.png"/><Relationship Id="rId56" Type="http://schemas.openxmlformats.org/officeDocument/2006/relationships/image" Target="media/image38.png"/><Relationship Id="rId57" Type="http://schemas.openxmlformats.org/officeDocument/2006/relationships/image" Target="media/image39.png"/><Relationship Id="rId58" Type="http://schemas.openxmlformats.org/officeDocument/2006/relationships/image" Target="media/image40.png"/><Relationship Id="rId59" Type="http://schemas.openxmlformats.org/officeDocument/2006/relationships/image" Target="media/image41.png"/><Relationship Id="rId60" Type="http://schemas.openxmlformats.org/officeDocument/2006/relationships/image" Target="media/image42.png"/><Relationship Id="rId61" Type="http://schemas.openxmlformats.org/officeDocument/2006/relationships/image" Target="media/image43.png"/><Relationship Id="rId62" Type="http://schemas.openxmlformats.org/officeDocument/2006/relationships/image" Target="media/image44.png"/><Relationship Id="rId63" Type="http://schemas.openxmlformats.org/officeDocument/2006/relationships/image" Target="media/image45.png"/><Relationship Id="rId64" Type="http://schemas.openxmlformats.org/officeDocument/2006/relationships/image" Target="media/image46.png"/><Relationship Id="rId65" Type="http://schemas.openxmlformats.org/officeDocument/2006/relationships/image" Target="media/image47.png"/><Relationship Id="rId66" Type="http://schemas.openxmlformats.org/officeDocument/2006/relationships/image" Target="media/image48.png"/><Relationship Id="rId67" Type="http://schemas.openxmlformats.org/officeDocument/2006/relationships/image" Target="media/image49.png"/><Relationship Id="rId68" Type="http://schemas.openxmlformats.org/officeDocument/2006/relationships/image" Target="media/image50.png"/><Relationship Id="rId69" Type="http://schemas.openxmlformats.org/officeDocument/2006/relationships/image" Target="media/image51.png"/><Relationship Id="rId70" Type="http://schemas.openxmlformats.org/officeDocument/2006/relationships/image" Target="media/image52.png"/><Relationship Id="rId71" Type="http://schemas.openxmlformats.org/officeDocument/2006/relationships/image" Target="media/image53.png"/><Relationship Id="rId72" Type="http://schemas.openxmlformats.org/officeDocument/2006/relationships/image" Target="media/image54.png"/><Relationship Id="rId73" Type="http://schemas.openxmlformats.org/officeDocument/2006/relationships/image" Target="media/image55.png"/><Relationship Id="rId74" Type="http://schemas.openxmlformats.org/officeDocument/2006/relationships/image" Target="media/image56.png"/><Relationship Id="rId75" Type="http://schemas.openxmlformats.org/officeDocument/2006/relationships/image" Target="media/image57.png"/><Relationship Id="rId76" Type="http://schemas.openxmlformats.org/officeDocument/2006/relationships/image" Target="media/image58.png"/><Relationship Id="rId77" Type="http://schemas.openxmlformats.org/officeDocument/2006/relationships/image" Target="media/image59.png"/><Relationship Id="rId78" Type="http://schemas.openxmlformats.org/officeDocument/2006/relationships/image" Target="media/image60.png"/><Relationship Id="rId79" Type="http://schemas.openxmlformats.org/officeDocument/2006/relationships/image" Target="media/image61.png"/><Relationship Id="rId80" Type="http://schemas.openxmlformats.org/officeDocument/2006/relationships/image" Target="media/image62.png"/><Relationship Id="rId81" Type="http://schemas.openxmlformats.org/officeDocument/2006/relationships/image" Target="media/image63.png"/><Relationship Id="rId82" Type="http://schemas.openxmlformats.org/officeDocument/2006/relationships/image" Target="media/image64.png"/><Relationship Id="rId83" Type="http://schemas.openxmlformats.org/officeDocument/2006/relationships/image" Target="media/image65.png"/><Relationship Id="rId84" Type="http://schemas.openxmlformats.org/officeDocument/2006/relationships/image" Target="media/image66.png"/><Relationship Id="rId85" Type="http://schemas.openxmlformats.org/officeDocument/2006/relationships/image" Target="media/image67.png"/><Relationship Id="rId86" Type="http://schemas.openxmlformats.org/officeDocument/2006/relationships/image" Target="media/image68.png"/><Relationship Id="rId87" Type="http://schemas.openxmlformats.org/officeDocument/2006/relationships/image" Target="media/image69.png"/><Relationship Id="rId88" Type="http://schemas.openxmlformats.org/officeDocument/2006/relationships/image" Target="media/image70.png"/><Relationship Id="rId89" Type="http://schemas.openxmlformats.org/officeDocument/2006/relationships/image" Target="media/image71.png"/><Relationship Id="rId90" Type="http://schemas.openxmlformats.org/officeDocument/2006/relationships/image" Target="media/image72.png"/><Relationship Id="rId91" Type="http://schemas.openxmlformats.org/officeDocument/2006/relationships/image" Target="media/image73.png"/><Relationship Id="rId92" Type="http://schemas.openxmlformats.org/officeDocument/2006/relationships/image" Target="media/image74.png"/><Relationship Id="rId93" Type="http://schemas.openxmlformats.org/officeDocument/2006/relationships/image" Target="media/image75.png"/><Relationship Id="rId94" Type="http://schemas.openxmlformats.org/officeDocument/2006/relationships/oleObject" Target="embeddings/oleObject1.bin"/><Relationship Id="rId95" Type="http://schemas.openxmlformats.org/officeDocument/2006/relationships/image" Target="media/image76.png"/><Relationship Id="rId96" Type="http://schemas.openxmlformats.org/officeDocument/2006/relationships/image" Target="media/image77.png"/><Relationship Id="rId97" Type="http://schemas.openxmlformats.org/officeDocument/2006/relationships/image" Target="media/image78.png"/><Relationship Id="rId98" Type="http://schemas.openxmlformats.org/officeDocument/2006/relationships/image" Target="media/image79.png"/><Relationship Id="rId99" Type="http://schemas.openxmlformats.org/officeDocument/2006/relationships/image" Target="media/image80.png"/><Relationship Id="rId100" Type="http://schemas.openxmlformats.org/officeDocument/2006/relationships/oleObject" Target="embeddings/oleObject2.bin"/><Relationship Id="rId101" Type="http://schemas.openxmlformats.org/officeDocument/2006/relationships/image" Target="media/image81.emf"/><Relationship Id="rId102" Type="http://schemas.openxmlformats.org/officeDocument/2006/relationships/image" Target="media/media3.svg"/><Relationship Id="rId103" Type="http://schemas.openxmlformats.org/officeDocument/2006/relationships/image" Target="media/image82.png"/><Relationship Id="rId104" Type="http://schemas.openxmlformats.org/officeDocument/2006/relationships/image" Target="media/image83.png"/><Relationship Id="rId105" Type="http://schemas.openxmlformats.org/officeDocument/2006/relationships/image" Target="media/image84.png"/><Relationship Id="rId106" Type="http://schemas.openxmlformats.org/officeDocument/2006/relationships/image" Target="media/image85.png"/><Relationship Id="rId107" Type="http://schemas.openxmlformats.org/officeDocument/2006/relationships/image" Target="media/image86.png"/><Relationship Id="rId108" Type="http://schemas.openxmlformats.org/officeDocument/2006/relationships/image" Target="media/image87.png"/><Relationship Id="rId109" Type="http://schemas.openxmlformats.org/officeDocument/2006/relationships/image" Target="media/image88.png"/><Relationship Id="rId110" Type="http://schemas.openxmlformats.org/officeDocument/2006/relationships/image" Target="media/image89.png"/><Relationship Id="rId111" Type="http://schemas.openxmlformats.org/officeDocument/2006/relationships/image" Target="media/image90.png"/><Relationship Id="rId112" Type="http://schemas.openxmlformats.org/officeDocument/2006/relationships/image" Target="media/image91.png"/><Relationship Id="rId113" Type="http://schemas.openxmlformats.org/officeDocument/2006/relationships/image" Target="media/image92.png"/><Relationship Id="rId114" Type="http://schemas.openxmlformats.org/officeDocument/2006/relationships/image" Target="media/image93.png"/><Relationship Id="rId115" Type="http://schemas.openxmlformats.org/officeDocument/2006/relationships/image" Target="media/image94.png"/><Relationship Id="rId116" Type="http://schemas.openxmlformats.org/officeDocument/2006/relationships/image" Target="media/image95.png"/><Relationship Id="rId117" Type="http://schemas.openxmlformats.org/officeDocument/2006/relationships/image" Target="media/image96.png"/><Relationship Id="rId118" Type="http://schemas.openxmlformats.org/officeDocument/2006/relationships/image" Target="media/image97.png"/><Relationship Id="rId119" Type="http://schemas.openxmlformats.org/officeDocument/2006/relationships/image" Target="media/image98.png"/><Relationship Id="rId120" Type="http://schemas.openxmlformats.org/officeDocument/2006/relationships/image" Target="media/image99.png"/><Relationship Id="rId121" Type="http://schemas.openxmlformats.org/officeDocument/2006/relationships/image" Target="media/image100.png"/><Relationship Id="rId122" Type="http://schemas.openxmlformats.org/officeDocument/2006/relationships/image" Target="media/image101.png"/><Relationship Id="rId123" Type="http://schemas.openxmlformats.org/officeDocument/2006/relationships/image" Target="media/image102.png"/><Relationship Id="rId124" Type="http://schemas.openxmlformats.org/officeDocument/2006/relationships/hyperlink" Target="https://roskazna.gov.ru/gis/dokumenty/" TargetMode="External"/><Relationship Id="rId125" Type="http://schemas.openxmlformats.org/officeDocument/2006/relationships/image" Target="media/image103.png"/><Relationship Id="rId126" Type="http://schemas.openxmlformats.org/officeDocument/2006/relationships/image" Target="media/image104.png"/><Relationship Id="rId127" Type="http://schemas.openxmlformats.org/officeDocument/2006/relationships/image" Target="media/image105.png"/><Relationship Id="rId128" Type="http://schemas.openxmlformats.org/officeDocument/2006/relationships/image" Target="media/image106.png"/><Relationship Id="rId129" Type="http://schemas.openxmlformats.org/officeDocument/2006/relationships/image" Target="media/image107.png"/><Relationship Id="rId130" Type="http://schemas.openxmlformats.org/officeDocument/2006/relationships/image" Target="media/image108.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_rels/header4.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1037C-0B3D-448E-AF9C-00E6508BE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Р7-Офис/2025.3.1.923</Application>
  <Company>Hewlett-Packard Company</Company>
  <DocSecurity>0</DocSecurity>
  <HyperlinksChanged>false</HyperlinksChanged>
  <LinksUpToDate>false</LinksUpToDate>
  <ScaleCrop>false</ScaleCrop>
  <SharedDoc>false</SharedDoc>
  <Template>Template_GOST_(РП_РА)_new.dot</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egorova.ekaterina</dc:creator>
  <cp:lastModifiedBy>3785</cp:lastModifiedBy>
  <cp:revision>623</cp:revision>
  <dcterms:created xsi:type="dcterms:W3CDTF">2019-01-18T16:33:00Z</dcterms:created>
  <dcterms:modified xsi:type="dcterms:W3CDTF">2026-03-06T12:43:25Z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код_документа">
    <vt:lpwstr>00083598.20.19,02.ДР.002-1.0 1(2,5,7)</vt:lpwstr>
  </property>
</Properties>
</file>